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CA" w:rsidRDefault="00211ECA" w:rsidP="000668C3">
      <w:pPr>
        <w:spacing w:after="0"/>
        <w:jc w:val="both"/>
        <w:rPr>
          <w:b/>
        </w:rPr>
      </w:pPr>
      <w:r>
        <w:rPr>
          <w:b/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8255</wp:posOffset>
            </wp:positionV>
            <wp:extent cx="2299970" cy="525145"/>
            <wp:effectExtent l="0" t="0" r="5080" b="825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="000668C3">
        <w:rPr>
          <w:b/>
        </w:rPr>
        <w:tab/>
      </w:r>
      <w:r w:rsidR="000668C3">
        <w:rPr>
          <w:b/>
        </w:rPr>
        <w:tab/>
      </w:r>
      <w:r w:rsidR="000668C3">
        <w:rPr>
          <w:b/>
        </w:rPr>
        <w:tab/>
      </w:r>
      <w:r w:rsidR="000668C3">
        <w:rPr>
          <w:b/>
        </w:rPr>
        <w:tab/>
      </w:r>
      <w:r w:rsidR="000668C3">
        <w:rPr>
          <w:b/>
        </w:rPr>
        <w:tab/>
      </w:r>
      <w:r>
        <w:rPr>
          <w:b/>
        </w:rPr>
        <w:t xml:space="preserve">    </w:t>
      </w:r>
      <w:r w:rsidR="000668C3">
        <w:rPr>
          <w:b/>
        </w:rPr>
        <w:tab/>
      </w:r>
      <w:r w:rsidR="000668C3">
        <w:rPr>
          <w:b/>
        </w:rPr>
        <w:tab/>
      </w:r>
    </w:p>
    <w:p w:rsidR="00626619" w:rsidRPr="000668C3" w:rsidRDefault="00211ECA" w:rsidP="000668C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936B4" w:rsidRPr="000668C3">
        <w:t>Датски орган за движение по пътищата</w:t>
      </w:r>
    </w:p>
    <w:p w:rsidR="002936B4" w:rsidRPr="000668C3" w:rsidRDefault="000668C3" w:rsidP="000668C3">
      <w:pPr>
        <w:spacing w:after="0"/>
        <w:jc w:val="both"/>
        <w:rPr>
          <w:lang w:val="en-US"/>
        </w:rPr>
      </w:pPr>
      <w:r w:rsidRPr="000668C3">
        <w:rPr>
          <w:lang w:val="en-US"/>
        </w:rPr>
        <w:tab/>
      </w:r>
      <w:r w:rsidRPr="000668C3">
        <w:rPr>
          <w:lang w:val="en-US"/>
        </w:rPr>
        <w:tab/>
      </w:r>
      <w:r w:rsidRPr="000668C3">
        <w:rPr>
          <w:lang w:val="en-US"/>
        </w:rPr>
        <w:tab/>
      </w:r>
      <w:r w:rsidRPr="000668C3">
        <w:rPr>
          <w:lang w:val="en-US"/>
        </w:rPr>
        <w:tab/>
      </w:r>
      <w:r w:rsidRPr="000668C3">
        <w:rPr>
          <w:lang w:val="en-US"/>
        </w:rPr>
        <w:tab/>
      </w:r>
      <w:r w:rsidRPr="000668C3">
        <w:rPr>
          <w:lang w:val="en-US"/>
        </w:rPr>
        <w:tab/>
      </w:r>
      <w:r w:rsidRPr="000668C3">
        <w:rPr>
          <w:lang w:val="en-US"/>
        </w:rPr>
        <w:tab/>
      </w:r>
      <w:r w:rsidRPr="000668C3">
        <w:rPr>
          <w:lang w:val="en-US"/>
        </w:rPr>
        <w:tab/>
      </w:r>
      <w:r w:rsidRPr="000668C3">
        <w:rPr>
          <w:lang w:val="en-US"/>
        </w:rPr>
        <w:tab/>
        <w:t xml:space="preserve">                          </w:t>
      </w:r>
      <w:proofErr w:type="spellStart"/>
      <w:r w:rsidR="002936B4" w:rsidRPr="000668C3">
        <w:rPr>
          <w:lang w:val="en-US"/>
        </w:rPr>
        <w:t>Sorsigvej</w:t>
      </w:r>
      <w:proofErr w:type="spellEnd"/>
      <w:r w:rsidR="002936B4" w:rsidRPr="000668C3">
        <w:rPr>
          <w:lang w:val="en-US"/>
        </w:rPr>
        <w:t xml:space="preserve"> 35</w:t>
      </w:r>
    </w:p>
    <w:p w:rsidR="000668C3" w:rsidRPr="000668C3" w:rsidRDefault="000668C3" w:rsidP="000668C3">
      <w:pPr>
        <w:spacing w:after="0"/>
        <w:jc w:val="both"/>
      </w:pPr>
      <w:r w:rsidRPr="000668C3">
        <w:rPr>
          <w:lang w:val="en-US"/>
        </w:rPr>
        <w:t xml:space="preserve">         </w:t>
      </w:r>
      <w:r w:rsidRPr="000668C3">
        <w:rPr>
          <w:lang w:val="en-US"/>
        </w:rPr>
        <w:tab/>
      </w:r>
      <w:r w:rsidRPr="000668C3">
        <w:rPr>
          <w:lang w:val="en-US"/>
        </w:rPr>
        <w:tab/>
      </w:r>
      <w:r w:rsidRPr="000668C3">
        <w:rPr>
          <w:lang w:val="en-US"/>
        </w:rPr>
        <w:tab/>
      </w:r>
      <w:r w:rsidRPr="000668C3">
        <w:rPr>
          <w:lang w:val="en-US"/>
        </w:rPr>
        <w:tab/>
      </w:r>
      <w:r w:rsidRPr="000668C3">
        <w:rPr>
          <w:lang w:val="en-US"/>
        </w:rPr>
        <w:tab/>
      </w:r>
      <w:r w:rsidRPr="000668C3">
        <w:rPr>
          <w:lang w:val="en-US"/>
        </w:rPr>
        <w:tab/>
      </w:r>
      <w:r w:rsidRPr="000668C3">
        <w:rPr>
          <w:lang w:val="en-US"/>
        </w:rPr>
        <w:tab/>
      </w:r>
      <w:r w:rsidRPr="000668C3">
        <w:rPr>
          <w:lang w:val="en-US"/>
        </w:rPr>
        <w:tab/>
      </w:r>
      <w:r w:rsidRPr="000668C3">
        <w:rPr>
          <w:lang w:val="en-US"/>
        </w:rPr>
        <w:tab/>
      </w:r>
      <w:r w:rsidRPr="000668C3">
        <w:rPr>
          <w:lang w:val="en-US"/>
        </w:rPr>
        <w:tab/>
      </w:r>
      <w:r w:rsidRPr="000668C3">
        <w:t xml:space="preserve">               </w:t>
      </w:r>
      <w:r w:rsidRPr="000668C3">
        <w:rPr>
          <w:lang w:val="en-US"/>
        </w:rPr>
        <w:t xml:space="preserve">6760 </w:t>
      </w:r>
      <w:proofErr w:type="spellStart"/>
      <w:r w:rsidRPr="000668C3">
        <w:rPr>
          <w:lang w:val="en-US"/>
        </w:rPr>
        <w:t>Ribe</w:t>
      </w:r>
      <w:proofErr w:type="spellEnd"/>
    </w:p>
    <w:p w:rsidR="00BB22B4" w:rsidRPr="000668C3" w:rsidRDefault="00211ECA" w:rsidP="00BB22B4">
      <w:pPr>
        <w:spacing w:after="0"/>
      </w:pPr>
      <w:r>
        <w:tab/>
      </w:r>
      <w:r w:rsidR="002936B4" w:rsidRPr="000668C3">
        <w:tab/>
      </w:r>
      <w:r w:rsidR="002936B4" w:rsidRPr="000668C3">
        <w:tab/>
      </w:r>
      <w:r w:rsidR="002936B4" w:rsidRPr="000668C3">
        <w:tab/>
      </w:r>
      <w:r w:rsidR="002936B4" w:rsidRPr="000668C3">
        <w:tab/>
      </w:r>
      <w:r w:rsidR="002936B4" w:rsidRPr="000668C3">
        <w:tab/>
      </w:r>
      <w:r w:rsidR="002936B4" w:rsidRPr="000668C3">
        <w:tab/>
      </w:r>
      <w:r w:rsidR="002936B4" w:rsidRPr="000668C3">
        <w:tab/>
      </w:r>
      <w:r w:rsidR="002936B4" w:rsidRPr="000668C3">
        <w:tab/>
      </w:r>
      <w:r w:rsidR="002936B4" w:rsidRPr="000668C3">
        <w:tab/>
      </w:r>
      <w:r>
        <w:t xml:space="preserve"> </w:t>
      </w:r>
      <w:r w:rsidR="002936B4" w:rsidRPr="000668C3">
        <w:t>27 януари 2021 г.</w:t>
      </w:r>
    </w:p>
    <w:p w:rsidR="00211ECA" w:rsidRDefault="00211ECA" w:rsidP="00BB22B4">
      <w:pPr>
        <w:spacing w:after="0"/>
      </w:pPr>
    </w:p>
    <w:p w:rsidR="00211ECA" w:rsidRDefault="00211ECA" w:rsidP="00BB22B4">
      <w:pPr>
        <w:spacing w:after="0"/>
      </w:pPr>
      <w:r>
        <w:t>ДО</w:t>
      </w:r>
    </w:p>
    <w:p w:rsidR="00BB22B4" w:rsidRPr="000668C3" w:rsidRDefault="00BB22B4" w:rsidP="00BB22B4">
      <w:pPr>
        <w:spacing w:after="0"/>
      </w:pPr>
      <w:r w:rsidRPr="000668C3">
        <w:t>Българското посолство</w:t>
      </w:r>
      <w:bookmarkStart w:id="0" w:name="_GoBack"/>
      <w:bookmarkEnd w:id="0"/>
    </w:p>
    <w:p w:rsidR="00BB22B4" w:rsidRPr="000668C3" w:rsidRDefault="00BB22B4" w:rsidP="00BB22B4">
      <w:pPr>
        <w:spacing w:after="0"/>
        <w:rPr>
          <w:lang w:val="en-US"/>
        </w:rPr>
      </w:pPr>
      <w:proofErr w:type="spellStart"/>
      <w:r w:rsidRPr="000668C3">
        <w:t>Gamlehave</w:t>
      </w:r>
      <w:proofErr w:type="spellEnd"/>
      <w:r w:rsidRPr="000668C3">
        <w:t xml:space="preserve"> </w:t>
      </w:r>
      <w:proofErr w:type="spellStart"/>
      <w:r w:rsidRPr="000668C3">
        <w:t>Allé</w:t>
      </w:r>
      <w:proofErr w:type="spellEnd"/>
      <w:r w:rsidRPr="000668C3">
        <w:rPr>
          <w:lang w:val="en-US"/>
        </w:rPr>
        <w:t xml:space="preserve"> 7</w:t>
      </w:r>
    </w:p>
    <w:p w:rsidR="00BB22B4" w:rsidRPr="000668C3" w:rsidRDefault="00BB22B4" w:rsidP="00BB22B4">
      <w:pPr>
        <w:spacing w:after="0"/>
        <w:rPr>
          <w:lang w:val="en-US"/>
        </w:rPr>
      </w:pPr>
      <w:r w:rsidRPr="000668C3">
        <w:rPr>
          <w:lang w:val="en-US"/>
        </w:rPr>
        <w:t xml:space="preserve">2920 </w:t>
      </w:r>
      <w:proofErr w:type="spellStart"/>
      <w:r w:rsidRPr="000668C3">
        <w:rPr>
          <w:lang w:val="en-US"/>
        </w:rPr>
        <w:t>Charlottenlund</w:t>
      </w:r>
      <w:proofErr w:type="spellEnd"/>
    </w:p>
    <w:p w:rsidR="00BB22B4" w:rsidRPr="000668C3" w:rsidRDefault="00BB22B4" w:rsidP="00BB22B4">
      <w:r w:rsidRPr="000668C3">
        <w:t>Дания</w:t>
      </w:r>
    </w:p>
    <w:p w:rsidR="00BB22B4" w:rsidRDefault="00BB22B4" w:rsidP="00BB22B4">
      <w:pPr>
        <w:rPr>
          <w:b/>
        </w:rPr>
      </w:pPr>
    </w:p>
    <w:p w:rsidR="007A4772" w:rsidRPr="00211ECA" w:rsidRDefault="002878CD" w:rsidP="002878CD">
      <w:pPr>
        <w:jc w:val="center"/>
        <w:rPr>
          <w:b/>
          <w:sz w:val="24"/>
          <w:szCs w:val="24"/>
        </w:rPr>
      </w:pPr>
      <w:r w:rsidRPr="00211ECA">
        <w:rPr>
          <w:b/>
          <w:sz w:val="24"/>
          <w:szCs w:val="24"/>
        </w:rPr>
        <w:t>Нови правила за извършване на товарен каботаж, автобусен каботаж и сухопътната част на комбиниран транспорт в Дания</w:t>
      </w:r>
    </w:p>
    <w:p w:rsidR="002878CD" w:rsidRDefault="002878CD" w:rsidP="002878CD">
      <w:pPr>
        <w:jc w:val="both"/>
      </w:pPr>
      <w:r>
        <w:t xml:space="preserve">По електронна поща, на 18 декември 2020 г., помолихте Министерството на транспорта и </w:t>
      </w:r>
      <w:r w:rsidR="006001D2">
        <w:t>жилищното настаняване</w:t>
      </w:r>
      <w:r>
        <w:t xml:space="preserve"> да Ви предостави информация във връзка с новото законодателство, свързано с командированите шофьори.</w:t>
      </w:r>
    </w:p>
    <w:p w:rsidR="002878CD" w:rsidRDefault="002878CD" w:rsidP="002878CD">
      <w:pPr>
        <w:jc w:val="both"/>
      </w:pPr>
      <w:r>
        <w:t>Датският орган за движението по пътищата</w:t>
      </w:r>
      <w:r w:rsidR="006001D2">
        <w:t xml:space="preserve"> администрира разпоредбите, които имате предвид. Ето защо, Министерството на транспорта и жилищното настаняване препрати към нас Вашето запитване.</w:t>
      </w:r>
    </w:p>
    <w:p w:rsidR="006001D2" w:rsidRDefault="006001D2" w:rsidP="002878CD">
      <w:pPr>
        <w:jc w:val="both"/>
      </w:pPr>
      <w:r>
        <w:t xml:space="preserve">Правилно е, че, считано от 1 януари 2021 г., разпоредбите във връзка със заплащането на командированите шофьори </w:t>
      </w:r>
      <w:r w:rsidR="00BB6185">
        <w:t>следва</w:t>
      </w:r>
      <w:r>
        <w:t xml:space="preserve"> да се прилагат за фирмите, извършващи каботаж със стоки, при</w:t>
      </w:r>
      <w:r w:rsidRPr="006001D2">
        <w:t xml:space="preserve"> общо допустимо тегло на моторното превозно средство или камион над 3500 кг, каботаж на автобус или пътната част на комбинирания транспорт в Дания</w:t>
      </w:r>
      <w:r w:rsidR="00BB6185">
        <w:t xml:space="preserve">. </w:t>
      </w:r>
    </w:p>
    <w:p w:rsidR="00BB6185" w:rsidRDefault="00BB6185" w:rsidP="002878CD">
      <w:pPr>
        <w:jc w:val="both"/>
        <w:rPr>
          <w:u w:val="single"/>
        </w:rPr>
      </w:pPr>
      <w:r>
        <w:rPr>
          <w:u w:val="single"/>
        </w:rPr>
        <w:t>Какво е задължена да направи фирмата?</w:t>
      </w:r>
    </w:p>
    <w:p w:rsidR="00BB6185" w:rsidRDefault="00BB6185" w:rsidP="002878CD">
      <w:pPr>
        <w:jc w:val="both"/>
        <w:rPr>
          <w:i/>
        </w:rPr>
      </w:pPr>
      <w:r>
        <w:rPr>
          <w:i/>
        </w:rPr>
        <w:t>Възнаграждение на шофьора</w:t>
      </w:r>
    </w:p>
    <w:p w:rsidR="00BB6185" w:rsidRDefault="00A91602" w:rsidP="002878CD">
      <w:pPr>
        <w:jc w:val="both"/>
      </w:pPr>
      <w:r>
        <w:t>Фирмата трябва да заплаща на шофьорите съгласно минимална часова ставка за шофиране, когато се извършва каботаж, автобусен каботаж или пътната част на комбиниран</w:t>
      </w:r>
      <w:r w:rsidR="00C76326">
        <w:t>ия</w:t>
      </w:r>
      <w:r>
        <w:t xml:space="preserve"> транспорт се осъществява в Дания.</w:t>
      </w:r>
    </w:p>
    <w:p w:rsidR="00C76326" w:rsidRDefault="00C76326" w:rsidP="002878CD">
      <w:pPr>
        <w:jc w:val="both"/>
      </w:pPr>
      <w:r>
        <w:t xml:space="preserve">Часовата ставка, по която се заплаща на шофьорите, които извършват каботаж със стоки или </w:t>
      </w:r>
      <w:r w:rsidRPr="00C76326">
        <w:t>пътната част на комбиниран транспорт</w:t>
      </w:r>
      <w:r>
        <w:t>, в момента възлиза на минимум 163,50 датски крони.</w:t>
      </w:r>
    </w:p>
    <w:p w:rsidR="00C76326" w:rsidRDefault="00C76326" w:rsidP="002878CD">
      <w:pPr>
        <w:jc w:val="both"/>
      </w:pPr>
      <w:r>
        <w:t>Часовата ставка за заплащане на шофьорите, които извършват каботажн</w:t>
      </w:r>
      <w:r w:rsidR="00A47BA5">
        <w:t>о</w:t>
      </w:r>
      <w:r>
        <w:t xml:space="preserve"> </w:t>
      </w:r>
      <w:r w:rsidR="00A47BA5">
        <w:t>шофиране</w:t>
      </w:r>
      <w:r>
        <w:t xml:space="preserve"> с автобус, в момента възлиза на минимум 168,60 датски крони.</w:t>
      </w:r>
    </w:p>
    <w:p w:rsidR="00C76326" w:rsidRDefault="00C76326" w:rsidP="002878CD">
      <w:pPr>
        <w:jc w:val="both"/>
      </w:pPr>
      <w:r>
        <w:t xml:space="preserve">Часовата ставка за възнаграждение на шофьорите, </w:t>
      </w:r>
      <w:r w:rsidR="00A47BA5">
        <w:t>които извършват туристическо шофиране, в момента възлиза на минимум 163,30 датски крони.</w:t>
      </w:r>
    </w:p>
    <w:p w:rsidR="00A47BA5" w:rsidRDefault="00A47BA5" w:rsidP="002878CD">
      <w:pPr>
        <w:jc w:val="both"/>
      </w:pPr>
      <w:r>
        <w:t>Ставките се актуализират най-малко веднъж годишно</w:t>
      </w:r>
      <w:r w:rsidR="00FC50AC">
        <w:t xml:space="preserve">. Първата корекция ще бъде направена на 1 март 2021 г. Актуалните часови ставки ще бъдат обявени на интернет страницата на </w:t>
      </w:r>
      <w:r w:rsidR="00D17EF6" w:rsidRPr="00D17EF6">
        <w:t>Датския орган за движението по пътищата</w:t>
      </w:r>
      <w:r w:rsidR="00D17EF6">
        <w:t>:</w:t>
      </w:r>
    </w:p>
    <w:p w:rsidR="00D17EF6" w:rsidRDefault="00D17EF6" w:rsidP="002878CD">
      <w:pPr>
        <w:jc w:val="both"/>
      </w:pPr>
      <w:hyperlink r:id="rId6" w:history="1">
        <w:r w:rsidRPr="00C541AD">
          <w:rPr>
            <w:rStyle w:val="a3"/>
          </w:rPr>
          <w:t>https://www.fstyr.dk/en/Cabotage-and-combined-transport/Cabotage-and-combined-transport</w:t>
        </w:r>
      </w:hyperlink>
      <w:r>
        <w:t xml:space="preserve"> </w:t>
      </w:r>
    </w:p>
    <w:p w:rsidR="00D17EF6" w:rsidRDefault="00D17EF6" w:rsidP="002878CD">
      <w:pPr>
        <w:jc w:val="both"/>
        <w:rPr>
          <w:i/>
        </w:rPr>
      </w:pPr>
      <w:r>
        <w:rPr>
          <w:i/>
        </w:rPr>
        <w:lastRenderedPageBreak/>
        <w:t>Регистриране на превоза</w:t>
      </w:r>
    </w:p>
    <w:p w:rsidR="00D17EF6" w:rsidRDefault="00D17EF6" w:rsidP="002878CD">
      <w:pPr>
        <w:jc w:val="both"/>
      </w:pPr>
      <w:r>
        <w:t xml:space="preserve">Не по-късно от момента на започване на превоза, </w:t>
      </w:r>
      <w:r w:rsidR="005750FF">
        <w:t>конкретната</w:t>
      </w:r>
      <w:r>
        <w:t xml:space="preserve"> фирма трябва да уведоми Датския бизнес орган, чрез Регистъра на чуждестранните операции в Дания, относно следното:</w:t>
      </w:r>
    </w:p>
    <w:p w:rsidR="00D17EF6" w:rsidRDefault="00D17EF6" w:rsidP="00D17EF6">
      <w:pPr>
        <w:pStyle w:val="a4"/>
        <w:numPr>
          <w:ilvl w:val="0"/>
          <w:numId w:val="1"/>
        </w:numPr>
        <w:jc w:val="both"/>
      </w:pPr>
      <w:r>
        <w:t>Наименование на фирмата, служебен адрес и данни за контакт.</w:t>
      </w:r>
    </w:p>
    <w:p w:rsidR="00D17EF6" w:rsidRDefault="00D17EF6" w:rsidP="00D17EF6">
      <w:pPr>
        <w:pStyle w:val="a4"/>
        <w:numPr>
          <w:ilvl w:val="0"/>
          <w:numId w:val="1"/>
        </w:numPr>
        <w:jc w:val="both"/>
      </w:pPr>
      <w:r>
        <w:t>Информация за вида транспорт.</w:t>
      </w:r>
    </w:p>
    <w:p w:rsidR="00D17EF6" w:rsidRDefault="00D17EF6" w:rsidP="00D17EF6">
      <w:pPr>
        <w:pStyle w:val="a4"/>
        <w:numPr>
          <w:ilvl w:val="0"/>
          <w:numId w:val="1"/>
        </w:numPr>
        <w:jc w:val="both"/>
      </w:pPr>
      <w:r>
        <w:t>Регистрационен номер на теглещото превозно средство.</w:t>
      </w:r>
    </w:p>
    <w:p w:rsidR="00D17EF6" w:rsidRDefault="00D17EF6" w:rsidP="00D17EF6">
      <w:pPr>
        <w:pStyle w:val="a4"/>
        <w:numPr>
          <w:ilvl w:val="0"/>
          <w:numId w:val="1"/>
        </w:numPr>
        <w:jc w:val="both"/>
      </w:pPr>
      <w:r>
        <w:t>Дата на започване и завършване на превоза.</w:t>
      </w:r>
    </w:p>
    <w:p w:rsidR="00D17EF6" w:rsidRDefault="00476E48" w:rsidP="00D17EF6">
      <w:pPr>
        <w:pStyle w:val="a4"/>
        <w:numPr>
          <w:ilvl w:val="0"/>
          <w:numId w:val="1"/>
        </w:numPr>
        <w:jc w:val="both"/>
      </w:pPr>
      <w:r>
        <w:t>Самоличност и данни за контакт на шофьорите, осъществяващи въпросния превоз.</w:t>
      </w:r>
    </w:p>
    <w:p w:rsidR="00476E48" w:rsidRDefault="00476E48" w:rsidP="0013458C">
      <w:pPr>
        <w:pStyle w:val="a4"/>
        <w:numPr>
          <w:ilvl w:val="0"/>
          <w:numId w:val="1"/>
        </w:numPr>
        <w:spacing w:after="240"/>
        <w:jc w:val="both"/>
      </w:pPr>
      <w:r>
        <w:t>Какъв вид шофиране се осъществява.</w:t>
      </w:r>
    </w:p>
    <w:p w:rsidR="0013458C" w:rsidRDefault="005750FF" w:rsidP="005750FF">
      <w:pPr>
        <w:jc w:val="both"/>
      </w:pPr>
      <w:r>
        <w:t xml:space="preserve">Регистрацията се извършва </w:t>
      </w:r>
      <w:r w:rsidR="0013458C">
        <w:t>чрез онлайн решение на Д</w:t>
      </w:r>
      <w:r w:rsidR="0013458C" w:rsidRPr="0013458C">
        <w:t>атския бизнес орган, Регистър на чуждестранните операции в Дания</w:t>
      </w:r>
      <w:r w:rsidR="0013458C">
        <w:t xml:space="preserve">, достъпно на адрес: </w:t>
      </w:r>
      <w:hyperlink r:id="rId7" w:history="1">
        <w:r w:rsidR="0013458C" w:rsidRPr="00C541AD">
          <w:rPr>
            <w:rStyle w:val="a3"/>
          </w:rPr>
          <w:t>https://virk.dk/</w:t>
        </w:r>
      </w:hyperlink>
      <w:r w:rsidR="0013458C">
        <w:t xml:space="preserve">. Ако имате въпроси, свързани с Регистъра, моля, свържете се с Датския бизнес орган на тел.: </w:t>
      </w:r>
      <w:r w:rsidR="0013458C">
        <w:rPr>
          <w:lang w:val="en-US"/>
        </w:rPr>
        <w:t>+</w:t>
      </w:r>
      <w:r w:rsidR="0013458C">
        <w:t>45 70 80 90 88.</w:t>
      </w:r>
    </w:p>
    <w:p w:rsidR="0013458C" w:rsidRDefault="0013458C" w:rsidP="005750FF">
      <w:pPr>
        <w:jc w:val="both"/>
        <w:rPr>
          <w:i/>
        </w:rPr>
      </w:pPr>
      <w:r>
        <w:rPr>
          <w:i/>
        </w:rPr>
        <w:t>Изисквания към документацията</w:t>
      </w:r>
    </w:p>
    <w:p w:rsidR="005750FF" w:rsidRDefault="0013458C" w:rsidP="005750FF">
      <w:pPr>
        <w:jc w:val="both"/>
      </w:pPr>
      <w:r>
        <w:t>Шофьорът на фирмата, при извършване на проверка на пътя, трябва, при поискване, да представи следните документи пред полицията или пред Датския</w:t>
      </w:r>
      <w:r w:rsidRPr="0013458C">
        <w:t xml:space="preserve"> орган за движението по пътищата</w:t>
      </w:r>
      <w:r>
        <w:t>:</w:t>
      </w:r>
    </w:p>
    <w:p w:rsidR="0013458C" w:rsidRDefault="0013458C" w:rsidP="0013458C">
      <w:pPr>
        <w:pStyle w:val="a4"/>
        <w:numPr>
          <w:ilvl w:val="0"/>
          <w:numId w:val="2"/>
        </w:numPr>
        <w:jc w:val="both"/>
      </w:pPr>
      <w:r>
        <w:t>Уведомление в Регистъра на чуждестранните операции в Дания.</w:t>
      </w:r>
    </w:p>
    <w:p w:rsidR="0013458C" w:rsidRDefault="0013458C" w:rsidP="0013458C">
      <w:pPr>
        <w:pStyle w:val="a4"/>
        <w:numPr>
          <w:ilvl w:val="0"/>
          <w:numId w:val="2"/>
        </w:numPr>
        <w:jc w:val="both"/>
      </w:pPr>
      <w:r>
        <w:t>Трудов договор на шофьора.</w:t>
      </w:r>
    </w:p>
    <w:p w:rsidR="0013458C" w:rsidRDefault="0013458C" w:rsidP="0013458C">
      <w:pPr>
        <w:pStyle w:val="a4"/>
        <w:numPr>
          <w:ilvl w:val="0"/>
          <w:numId w:val="2"/>
        </w:numPr>
        <w:jc w:val="both"/>
      </w:pPr>
      <w:r>
        <w:t>Фишове за заплати или други документи, съдържащи равностойна информация, от които да е виден методът за изчисляване на заплащането за транспорта, за периодите, през които шофьорът на въпросната фирма, в рамките на последната година, е осъществявал каботаж със стоки, автобусен каботаж или комбиниран транспорт.</w:t>
      </w:r>
    </w:p>
    <w:p w:rsidR="00476E48" w:rsidRDefault="007C5DCF" w:rsidP="007C5DCF">
      <w:pPr>
        <w:pStyle w:val="a4"/>
        <w:numPr>
          <w:ilvl w:val="0"/>
          <w:numId w:val="2"/>
        </w:numPr>
        <w:jc w:val="both"/>
      </w:pPr>
      <w:r>
        <w:t>Изчисляване на работното време на шофьора или друга равностойна документация за същия период, за който са представени документи за възнаграждението</w:t>
      </w:r>
      <w:r w:rsidR="00AF28D1">
        <w:t>,</w:t>
      </w:r>
      <w:r>
        <w:t xml:space="preserve"> и доказателство за </w:t>
      </w:r>
      <w:r w:rsidRPr="007C5DCF">
        <w:t>изплащане на възнаграждение</w:t>
      </w:r>
      <w:r>
        <w:t>то.</w:t>
      </w:r>
    </w:p>
    <w:p w:rsidR="00856CCE" w:rsidRDefault="00856CCE" w:rsidP="00856CCE">
      <w:pPr>
        <w:pStyle w:val="a4"/>
        <w:numPr>
          <w:ilvl w:val="0"/>
          <w:numId w:val="2"/>
        </w:numPr>
        <w:spacing w:after="240"/>
        <w:jc w:val="both"/>
      </w:pPr>
      <w:r>
        <w:t>Документи за превоза, договори за транспорт или контрол, за същия период, за който е документацията за възнаграждението.</w:t>
      </w:r>
    </w:p>
    <w:p w:rsidR="00856CCE" w:rsidRDefault="00A85A25" w:rsidP="00856CCE">
      <w:pPr>
        <w:jc w:val="both"/>
        <w:rPr>
          <w:u w:val="single"/>
        </w:rPr>
      </w:pPr>
      <w:r>
        <w:rPr>
          <w:u w:val="single"/>
        </w:rPr>
        <w:t>Контрол</w:t>
      </w:r>
    </w:p>
    <w:p w:rsidR="00A85A25" w:rsidRDefault="00A85A25" w:rsidP="00856CCE">
      <w:pPr>
        <w:jc w:val="both"/>
      </w:pPr>
      <w:r>
        <w:t>От 1 януари 2021 г., Д</w:t>
      </w:r>
      <w:r>
        <w:t>атския</w:t>
      </w:r>
      <w:r>
        <w:t>т о</w:t>
      </w:r>
      <w:r w:rsidRPr="0013458C">
        <w:t>рган за движението по пътищата</w:t>
      </w:r>
      <w:r>
        <w:t xml:space="preserve">, в сътрудничество с полицията, контролира спазването на изискванията за регистриране на превоза и във връзка със заплащането. Това означава, че на пътя ще се извършват проверки както от Датския орган за движение по пътищата, така и от полицията. </w:t>
      </w:r>
    </w:p>
    <w:p w:rsidR="00A85A25" w:rsidRDefault="00A85A25" w:rsidP="00856CCE">
      <w:pPr>
        <w:jc w:val="both"/>
      </w:pPr>
      <w:r>
        <w:t xml:space="preserve">Освен това, Датският орган за движение по пътищата ще извършва проверки за административен контрол, за да се увери, че фирмата е заплатила на шофьорите в съответствие с минималните часови ставки. </w:t>
      </w:r>
    </w:p>
    <w:p w:rsidR="00A85A25" w:rsidRDefault="00A85A25" w:rsidP="00856CCE">
      <w:pPr>
        <w:jc w:val="both"/>
      </w:pPr>
      <w:r>
        <w:t>В случай на неизвършено уведомяване в Регистъра на чуждестранните операции в Дания, или ако шофьорът не може да представи необходимата документация, Датският орган за движение по пътищата и полицията имат възможност да налагат глоби на фирмите.</w:t>
      </w:r>
    </w:p>
    <w:p w:rsidR="00514333" w:rsidRDefault="00514333" w:rsidP="00856CCE">
      <w:pPr>
        <w:jc w:val="both"/>
      </w:pPr>
      <w:r>
        <w:t xml:space="preserve">Насоката за размера на глобата, в случай на липсващо или непълно уведомление в Регистъра на чуждестранните операции в Дания, преди началото на превоза, е 10 000 датски крони, като глобата се налага на фирмата. </w:t>
      </w:r>
    </w:p>
    <w:p w:rsidR="00514333" w:rsidRDefault="00514333" w:rsidP="00856CCE">
      <w:pPr>
        <w:jc w:val="both"/>
      </w:pPr>
      <w:r>
        <w:lastRenderedPageBreak/>
        <w:t>Насоката за размера на глобата за нарушение, свързано с изискването по отношение на заплащането, е 35 000 датски крони, като глобата се налага на фирмата.</w:t>
      </w:r>
    </w:p>
    <w:p w:rsidR="00514333" w:rsidRDefault="00514333" w:rsidP="00856CCE">
      <w:pPr>
        <w:jc w:val="both"/>
        <w:rPr>
          <w:u w:val="single"/>
        </w:rPr>
      </w:pPr>
      <w:r>
        <w:rPr>
          <w:u w:val="single"/>
        </w:rPr>
        <w:t>Допълнителна информация</w:t>
      </w:r>
    </w:p>
    <w:p w:rsidR="00514333" w:rsidRPr="00514333" w:rsidRDefault="00514333" w:rsidP="00856CCE">
      <w:pPr>
        <w:jc w:val="both"/>
      </w:pPr>
      <w:r>
        <w:t>Допълнителна информация ще намерите на интернет страницата на Датския орган за движение по пътищата:</w:t>
      </w:r>
    </w:p>
    <w:p w:rsidR="00856CCE" w:rsidRDefault="00514333" w:rsidP="00626619">
      <w:pPr>
        <w:jc w:val="both"/>
      </w:pPr>
      <w:hyperlink r:id="rId8" w:history="1">
        <w:r w:rsidRPr="00C541AD">
          <w:rPr>
            <w:rStyle w:val="a3"/>
          </w:rPr>
          <w:t>https://www.fstyr.dk/en/Cabotage-and-combined-transport/Cabotage-and-combined-transport</w:t>
        </w:r>
      </w:hyperlink>
      <w:r w:rsidR="00626619">
        <w:t xml:space="preserve"> </w:t>
      </w:r>
    </w:p>
    <w:p w:rsidR="00626619" w:rsidRDefault="00626619" w:rsidP="00626619">
      <w:pPr>
        <w:jc w:val="both"/>
      </w:pPr>
      <w:r>
        <w:t>Поздрави,</w:t>
      </w:r>
    </w:p>
    <w:p w:rsidR="00BB22B4" w:rsidRDefault="00626619" w:rsidP="00626619">
      <w:pPr>
        <w:jc w:val="both"/>
        <w:rPr>
          <w:lang w:val="en-US"/>
        </w:rPr>
      </w:pPr>
      <w:proofErr w:type="spellStart"/>
      <w:r>
        <w:rPr>
          <w:lang w:val="en-US"/>
        </w:rPr>
        <w:t>Rikke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Lavall</w:t>
      </w:r>
      <w:proofErr w:type="spellEnd"/>
    </w:p>
    <w:p w:rsidR="00626619" w:rsidRPr="00626619" w:rsidRDefault="00BB22B4" w:rsidP="00626619">
      <w:pPr>
        <w:jc w:val="both"/>
        <w:rPr>
          <w:i/>
        </w:rPr>
      </w:pPr>
      <w:r>
        <w:rPr>
          <w:i/>
        </w:rPr>
        <w:t>С</w:t>
      </w:r>
      <w:r w:rsidR="00626619" w:rsidRPr="00626619">
        <w:rPr>
          <w:i/>
        </w:rPr>
        <w:t>пециалист консултант</w:t>
      </w:r>
    </w:p>
    <w:p w:rsidR="00626619" w:rsidRPr="00626619" w:rsidRDefault="00626619" w:rsidP="00626619">
      <w:pPr>
        <w:jc w:val="both"/>
        <w:rPr>
          <w:lang w:val="en-US"/>
        </w:rPr>
      </w:pPr>
    </w:p>
    <w:p w:rsidR="00D17EF6" w:rsidRPr="00D17EF6" w:rsidRDefault="00D17EF6" w:rsidP="002878CD">
      <w:pPr>
        <w:jc w:val="both"/>
      </w:pPr>
    </w:p>
    <w:p w:rsidR="00C76326" w:rsidRPr="00BB6185" w:rsidRDefault="00C76326" w:rsidP="002878CD">
      <w:pPr>
        <w:jc w:val="both"/>
      </w:pPr>
    </w:p>
    <w:sectPr w:rsidR="00C76326" w:rsidRPr="00BB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87A2C"/>
    <w:multiLevelType w:val="hybridMultilevel"/>
    <w:tmpl w:val="F3F0DAD0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F1C9C"/>
    <w:multiLevelType w:val="hybridMultilevel"/>
    <w:tmpl w:val="54162990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DE"/>
    <w:rsid w:val="000668C3"/>
    <w:rsid w:val="000918B5"/>
    <w:rsid w:val="0013458C"/>
    <w:rsid w:val="00211ECA"/>
    <w:rsid w:val="002878CD"/>
    <w:rsid w:val="002936B4"/>
    <w:rsid w:val="00357FDE"/>
    <w:rsid w:val="00476E48"/>
    <w:rsid w:val="004B246A"/>
    <w:rsid w:val="00514333"/>
    <w:rsid w:val="005750FF"/>
    <w:rsid w:val="006001D2"/>
    <w:rsid w:val="00626619"/>
    <w:rsid w:val="007A4772"/>
    <w:rsid w:val="007C5DCF"/>
    <w:rsid w:val="00856CCE"/>
    <w:rsid w:val="008A1B1E"/>
    <w:rsid w:val="00A47BA5"/>
    <w:rsid w:val="00A85A25"/>
    <w:rsid w:val="00A91602"/>
    <w:rsid w:val="00AF28D1"/>
    <w:rsid w:val="00BB22B4"/>
    <w:rsid w:val="00BB6185"/>
    <w:rsid w:val="00C76326"/>
    <w:rsid w:val="00D17EF6"/>
    <w:rsid w:val="00FC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CB8C3-3E07-4B4F-A2E5-C6347FE7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E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17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tyr.dk/en/Cabotage-and-combined-transport/Cabotage-and-combined-trans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rk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styr.dk/en/Cabotage-and-combined-transport/Cabotage-and-combined-transpor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GLI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ДИМИТРОВА</dc:creator>
  <cp:keywords/>
  <dc:description/>
  <cp:lastModifiedBy>ИРЕНА ДИМИТРОВА</cp:lastModifiedBy>
  <cp:revision>20</cp:revision>
  <dcterms:created xsi:type="dcterms:W3CDTF">2021-02-01T07:48:00Z</dcterms:created>
  <dcterms:modified xsi:type="dcterms:W3CDTF">2021-02-01T11:06:00Z</dcterms:modified>
</cp:coreProperties>
</file>