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CEF91" w14:textId="1ECA85B8" w:rsidR="007C3EBF" w:rsidRDefault="00580ABB" w:rsidP="00580ABB">
      <w:pPr>
        <w:pStyle w:val="Default"/>
        <w:spacing w:line="480" w:lineRule="auto"/>
        <w:jc w:val="right"/>
        <w:rPr>
          <w:rFonts w:ascii="Verdana" w:hAnsi="Verdana"/>
          <w:b/>
          <w:bCs/>
          <w:iCs/>
          <w:sz w:val="20"/>
          <w:szCs w:val="20"/>
        </w:rPr>
      </w:pPr>
      <w:r w:rsidRPr="00720828">
        <w:rPr>
          <w:rFonts w:ascii="Verdana" w:hAnsi="Verdana"/>
          <w:b/>
          <w:bCs/>
          <w:iCs/>
          <w:sz w:val="20"/>
          <w:szCs w:val="20"/>
        </w:rPr>
        <w:t>Приложение №</w:t>
      </w:r>
      <w:r w:rsidR="00720828" w:rsidRPr="00720828">
        <w:rPr>
          <w:rFonts w:ascii="Verdana" w:hAnsi="Verdana"/>
          <w:b/>
          <w:bCs/>
          <w:iCs/>
          <w:sz w:val="20"/>
          <w:szCs w:val="20"/>
        </w:rPr>
        <w:t xml:space="preserve"> </w:t>
      </w:r>
      <w:r w:rsidR="001A7EA7">
        <w:rPr>
          <w:rFonts w:ascii="Verdana" w:hAnsi="Verdana"/>
          <w:b/>
          <w:bCs/>
          <w:iCs/>
          <w:sz w:val="20"/>
          <w:szCs w:val="20"/>
        </w:rPr>
        <w:t>3</w:t>
      </w:r>
      <w:bookmarkStart w:id="0" w:name="_GoBack"/>
      <w:bookmarkEnd w:id="0"/>
    </w:p>
    <w:p w14:paraId="336FF44B" w14:textId="77777777" w:rsidR="002B1CB7" w:rsidRPr="00E81B11" w:rsidRDefault="002B1CB7" w:rsidP="002B1CB7">
      <w:pPr>
        <w:pStyle w:val="Default"/>
        <w:jc w:val="center"/>
        <w:rPr>
          <w:rFonts w:ascii="Verdana" w:hAnsi="Verdana"/>
          <w:sz w:val="20"/>
          <w:szCs w:val="20"/>
        </w:rPr>
      </w:pPr>
      <w:r w:rsidRPr="00E81B11">
        <w:rPr>
          <w:rFonts w:ascii="Verdana" w:hAnsi="Verdana"/>
          <w:b/>
          <w:bCs/>
          <w:iCs/>
          <w:sz w:val="20"/>
          <w:szCs w:val="20"/>
        </w:rPr>
        <w:t>МЕТОДИКА ЗА ОПРЕДЕЛЯНЕ НА КОМПЛЕКСНАТА ОЦЕНКА НА ОФЕРТИТЕ</w:t>
      </w:r>
    </w:p>
    <w:p w14:paraId="7DFD7AF4" w14:textId="77777777" w:rsidR="00252761" w:rsidRDefault="002B1CB7" w:rsidP="00252761">
      <w:pPr>
        <w:pStyle w:val="Default"/>
        <w:jc w:val="center"/>
        <w:rPr>
          <w:rFonts w:ascii="Verdana" w:hAnsi="Verdana"/>
          <w:b/>
          <w:bCs/>
          <w:sz w:val="20"/>
          <w:szCs w:val="20"/>
        </w:rPr>
      </w:pPr>
      <w:r w:rsidRPr="00E81B11">
        <w:rPr>
          <w:rFonts w:ascii="Verdana" w:hAnsi="Verdana"/>
          <w:b/>
          <w:bCs/>
          <w:sz w:val="20"/>
          <w:szCs w:val="20"/>
        </w:rPr>
        <w:t>КРИТЕРИИ, ПОКАЗАТЕЛИ, ОТНОСИТЕЛНАТА ИМ ТЕЖЕСТ И МЕТОДИКА ЗА ОПРЕДЕЛЯНЕ НА КОМПЛЕКСНАТА ОЦЕНКА НА ОФЕРТИТЕ</w:t>
      </w:r>
      <w:r>
        <w:rPr>
          <w:rFonts w:ascii="Verdana" w:hAnsi="Verdana"/>
          <w:b/>
          <w:bCs/>
          <w:sz w:val="20"/>
          <w:szCs w:val="20"/>
        </w:rPr>
        <w:t xml:space="preserve"> </w:t>
      </w:r>
    </w:p>
    <w:p w14:paraId="4A3D2574" w14:textId="5F355DD1" w:rsidR="00252761" w:rsidRPr="00252761" w:rsidRDefault="00252761" w:rsidP="00252761">
      <w:pPr>
        <w:pStyle w:val="Default"/>
        <w:jc w:val="center"/>
        <w:rPr>
          <w:rFonts w:ascii="Verdana" w:hAnsi="Verdana"/>
          <w:b/>
          <w:bCs/>
          <w:sz w:val="20"/>
          <w:szCs w:val="20"/>
        </w:rPr>
      </w:pPr>
      <w:r w:rsidRPr="00252761">
        <w:rPr>
          <w:rFonts w:ascii="Verdana" w:hAnsi="Verdana"/>
          <w:b/>
          <w:bCs/>
          <w:sz w:val="20"/>
          <w:szCs w:val="20"/>
        </w:rPr>
        <w:t xml:space="preserve">в открита процедура по ЗОП за </w:t>
      </w:r>
      <w:r>
        <w:rPr>
          <w:rFonts w:ascii="Verdana" w:hAnsi="Verdana"/>
          <w:b/>
          <w:bCs/>
          <w:sz w:val="20"/>
          <w:szCs w:val="20"/>
        </w:rPr>
        <w:t xml:space="preserve">възлагане на обществена поръчка </w:t>
      </w:r>
      <w:r w:rsidRPr="00252761">
        <w:rPr>
          <w:rFonts w:ascii="Verdana" w:hAnsi="Verdana"/>
          <w:b/>
          <w:bCs/>
          <w:sz w:val="20"/>
          <w:szCs w:val="20"/>
        </w:rPr>
        <w:t xml:space="preserve">с предмет: </w:t>
      </w:r>
    </w:p>
    <w:p w14:paraId="450E6788" w14:textId="1AD24916" w:rsidR="005F4E35" w:rsidRPr="00252761" w:rsidRDefault="00252761" w:rsidP="00252761">
      <w:pPr>
        <w:pStyle w:val="Default"/>
        <w:jc w:val="center"/>
        <w:rPr>
          <w:rFonts w:ascii="Verdana" w:hAnsi="Verdana"/>
          <w:b/>
          <w:bCs/>
          <w:sz w:val="20"/>
          <w:szCs w:val="20"/>
        </w:rPr>
      </w:pPr>
      <w:r w:rsidRPr="00252761">
        <w:rPr>
          <w:rFonts w:ascii="Verdana" w:hAnsi="Verdana"/>
          <w:b/>
          <w:bCs/>
          <w:sz w:val="20"/>
          <w:szCs w:val="20"/>
        </w:rPr>
        <w:t>„Провеждане на специализирани (тематични) об</w:t>
      </w:r>
      <w:r>
        <w:rPr>
          <w:rFonts w:ascii="Verdana" w:hAnsi="Verdana"/>
          <w:b/>
          <w:bCs/>
          <w:sz w:val="20"/>
          <w:szCs w:val="20"/>
        </w:rPr>
        <w:t>учения на служители на ИА ГИТ (</w:t>
      </w:r>
      <w:r w:rsidRPr="00252761">
        <w:rPr>
          <w:rFonts w:ascii="Verdana" w:hAnsi="Verdana"/>
          <w:b/>
          <w:bCs/>
          <w:sz w:val="20"/>
          <w:szCs w:val="20"/>
        </w:rPr>
        <w:t>служители с инспекторски правомощия, юрисконсулти, икономисти) в присъствена форма на територията на Република България“</w:t>
      </w:r>
    </w:p>
    <w:p w14:paraId="54A6A6EB" w14:textId="77777777" w:rsidR="005F4E35" w:rsidRPr="00252761" w:rsidRDefault="005F4E35" w:rsidP="00252761">
      <w:pPr>
        <w:autoSpaceDE w:val="0"/>
        <w:autoSpaceDN w:val="0"/>
        <w:adjustRightInd w:val="0"/>
        <w:spacing w:after="0" w:line="240" w:lineRule="auto"/>
        <w:jc w:val="both"/>
        <w:rPr>
          <w:rFonts w:ascii="Verdana" w:eastAsia="Times New Roman" w:hAnsi="Verdana" w:cs="Times New Roman"/>
          <w:bCs/>
          <w:sz w:val="20"/>
          <w:szCs w:val="20"/>
          <w:lang w:val="bg-BG"/>
        </w:rPr>
      </w:pPr>
    </w:p>
    <w:p w14:paraId="47812CF0" w14:textId="77777777" w:rsidR="00252761" w:rsidRPr="00252761" w:rsidRDefault="00252761" w:rsidP="00252761">
      <w:pPr>
        <w:autoSpaceDE w:val="0"/>
        <w:autoSpaceDN w:val="0"/>
        <w:adjustRightInd w:val="0"/>
        <w:spacing w:after="0" w:line="240" w:lineRule="auto"/>
        <w:jc w:val="both"/>
        <w:rPr>
          <w:rFonts w:ascii="Verdana" w:eastAsia="Times New Roman" w:hAnsi="Verdana" w:cs="Times New Roman"/>
          <w:bCs/>
          <w:sz w:val="20"/>
          <w:szCs w:val="20"/>
          <w:lang w:val="bg-BG"/>
        </w:rPr>
      </w:pPr>
    </w:p>
    <w:p w14:paraId="3C2CF24D" w14:textId="77777777" w:rsidR="00252761" w:rsidRPr="00252761" w:rsidRDefault="00252761" w:rsidP="007C3EBF">
      <w:pPr>
        <w:autoSpaceDE w:val="0"/>
        <w:autoSpaceDN w:val="0"/>
        <w:adjustRightInd w:val="0"/>
        <w:spacing w:before="20" w:after="20" w:line="240" w:lineRule="auto"/>
        <w:ind w:firstLine="720"/>
        <w:jc w:val="both"/>
        <w:rPr>
          <w:rFonts w:ascii="Verdana" w:eastAsia="Times New Roman" w:hAnsi="Verdana" w:cs="Times New Roman"/>
          <w:bCs/>
          <w:sz w:val="20"/>
          <w:szCs w:val="20"/>
          <w:lang w:val="bg-BG"/>
        </w:rPr>
      </w:pPr>
      <w:r w:rsidRPr="00252761">
        <w:rPr>
          <w:rFonts w:ascii="Verdana" w:eastAsia="Times New Roman" w:hAnsi="Verdana" w:cs="Times New Roman"/>
          <w:bCs/>
          <w:sz w:val="20"/>
          <w:szCs w:val="20"/>
          <w:lang w:val="bg-BG"/>
        </w:rPr>
        <w:t>I. Същност.</w:t>
      </w:r>
    </w:p>
    <w:p w14:paraId="0D045DDE" w14:textId="1D6A044E" w:rsidR="00252761" w:rsidRPr="00252761" w:rsidRDefault="00252761" w:rsidP="00252761">
      <w:pPr>
        <w:autoSpaceDE w:val="0"/>
        <w:autoSpaceDN w:val="0"/>
        <w:adjustRightInd w:val="0"/>
        <w:spacing w:before="20" w:after="20" w:line="240" w:lineRule="auto"/>
        <w:jc w:val="both"/>
        <w:rPr>
          <w:rFonts w:ascii="Verdana" w:eastAsia="Times New Roman" w:hAnsi="Verdana" w:cs="Times New Roman"/>
          <w:bCs/>
          <w:sz w:val="20"/>
          <w:szCs w:val="20"/>
          <w:lang w:val="bg-BG"/>
        </w:rPr>
      </w:pPr>
      <w:r w:rsidRPr="00252761">
        <w:rPr>
          <w:rFonts w:ascii="Verdana" w:eastAsia="Times New Roman" w:hAnsi="Verdana" w:cs="Times New Roman"/>
          <w:bCs/>
          <w:sz w:val="20"/>
          <w:szCs w:val="20"/>
          <w:lang w:val="bg-BG"/>
        </w:rPr>
        <w:tab/>
        <w:t>1. Оценяването и класирането на офертите на участниците се извършва по критерия „ИКОНОМИЧЕСКИ НАЙ-ИЗГОДНАТА ОФЕРТА ” съгласно чл. 70, ал. 2, т. 3 от ЗОП. Оценяването и класирането на постъпилите оферти ще се извърши в съответствие с изискван</w:t>
      </w:r>
      <w:r w:rsidR="00B933A4">
        <w:rPr>
          <w:rFonts w:ascii="Verdana" w:eastAsia="Times New Roman" w:hAnsi="Verdana" w:cs="Times New Roman"/>
          <w:bCs/>
          <w:sz w:val="20"/>
          <w:szCs w:val="20"/>
          <w:lang w:val="bg-BG"/>
        </w:rPr>
        <w:t xml:space="preserve">ията на ЗОП. </w:t>
      </w:r>
    </w:p>
    <w:p w14:paraId="238AC4B4" w14:textId="78F923CE" w:rsidR="00252761" w:rsidRPr="00252761" w:rsidRDefault="00252761" w:rsidP="00252761">
      <w:pPr>
        <w:autoSpaceDE w:val="0"/>
        <w:autoSpaceDN w:val="0"/>
        <w:adjustRightInd w:val="0"/>
        <w:spacing w:before="20" w:after="20" w:line="240" w:lineRule="auto"/>
        <w:jc w:val="both"/>
        <w:rPr>
          <w:rFonts w:ascii="Verdana" w:eastAsia="Times New Roman" w:hAnsi="Verdana" w:cs="Times New Roman"/>
          <w:bCs/>
          <w:sz w:val="20"/>
          <w:szCs w:val="20"/>
          <w:lang w:val="bg-BG"/>
        </w:rPr>
      </w:pPr>
      <w:r w:rsidRPr="00252761">
        <w:rPr>
          <w:rFonts w:ascii="Verdana" w:eastAsia="Times New Roman" w:hAnsi="Verdana" w:cs="Times New Roman"/>
          <w:bCs/>
          <w:sz w:val="20"/>
          <w:szCs w:val="20"/>
          <w:lang w:val="bg-BG"/>
        </w:rPr>
        <w:tab/>
        <w:t>2. Настоящата методика за определяне на комплексната оценка на офертите представлява съвкупност от правила, посредством</w:t>
      </w:r>
      <w:r w:rsidR="007C3EBF">
        <w:rPr>
          <w:rFonts w:ascii="Verdana" w:eastAsia="Times New Roman" w:hAnsi="Verdana" w:cs="Times New Roman"/>
          <w:bCs/>
          <w:sz w:val="20"/>
          <w:szCs w:val="20"/>
          <w:lang w:val="bg-BG"/>
        </w:rPr>
        <w:t>,</w:t>
      </w:r>
      <w:r w:rsidRPr="00252761">
        <w:rPr>
          <w:rFonts w:ascii="Verdana" w:eastAsia="Times New Roman" w:hAnsi="Verdana" w:cs="Times New Roman"/>
          <w:bCs/>
          <w:sz w:val="20"/>
          <w:szCs w:val="20"/>
          <w:lang w:val="bg-BG"/>
        </w:rPr>
        <w:t xml:space="preserve"> които ще се оцени съответствието между изискванията на възложителя и предоставените оферти, с оглед определяне на предложението, което ще удовлетвори потребностите на възложителя по оптимал</w:t>
      </w:r>
      <w:r w:rsidR="00B933A4">
        <w:rPr>
          <w:rFonts w:ascii="Verdana" w:eastAsia="Times New Roman" w:hAnsi="Verdana" w:cs="Times New Roman"/>
          <w:bCs/>
          <w:sz w:val="20"/>
          <w:szCs w:val="20"/>
          <w:lang w:val="bg-BG"/>
        </w:rPr>
        <w:t>ен, ефективен и ефикасен начин.</w:t>
      </w:r>
    </w:p>
    <w:p w14:paraId="731232F4" w14:textId="08DF8A94" w:rsidR="00252761" w:rsidRPr="00252761" w:rsidRDefault="00252761" w:rsidP="00252761">
      <w:pPr>
        <w:autoSpaceDE w:val="0"/>
        <w:autoSpaceDN w:val="0"/>
        <w:adjustRightInd w:val="0"/>
        <w:spacing w:before="20" w:after="20" w:line="240" w:lineRule="auto"/>
        <w:jc w:val="both"/>
        <w:rPr>
          <w:rFonts w:ascii="Verdana" w:eastAsia="Times New Roman" w:hAnsi="Verdana" w:cs="Times New Roman"/>
          <w:bCs/>
          <w:sz w:val="20"/>
          <w:szCs w:val="20"/>
          <w:lang w:val="bg-BG"/>
        </w:rPr>
      </w:pPr>
      <w:r w:rsidRPr="00252761">
        <w:rPr>
          <w:rFonts w:ascii="Verdana" w:eastAsia="Times New Roman" w:hAnsi="Verdana" w:cs="Times New Roman"/>
          <w:bCs/>
          <w:sz w:val="20"/>
          <w:szCs w:val="20"/>
          <w:lang w:val="bg-BG"/>
        </w:rPr>
        <w:tab/>
        <w:t>3. На комплексна оценка за оценяване на икономически най-изгодната оферта съгласно чл. 70, ал. 2, т. 3 от ЗОП</w:t>
      </w:r>
      <w:r w:rsidR="007C3EBF">
        <w:rPr>
          <w:rFonts w:ascii="Verdana" w:eastAsia="Times New Roman" w:hAnsi="Verdana" w:cs="Times New Roman"/>
          <w:bCs/>
          <w:sz w:val="20"/>
          <w:szCs w:val="20"/>
          <w:lang w:val="bg-BG"/>
        </w:rPr>
        <w:t>,</w:t>
      </w:r>
      <w:r w:rsidRPr="00252761">
        <w:rPr>
          <w:rFonts w:ascii="Verdana" w:eastAsia="Times New Roman" w:hAnsi="Verdana" w:cs="Times New Roman"/>
          <w:bCs/>
          <w:sz w:val="20"/>
          <w:szCs w:val="20"/>
          <w:lang w:val="bg-BG"/>
        </w:rPr>
        <w:t xml:space="preserve"> подлежат офертите на участници в процедурата, които не са отстранени от участие в процедурата и които отговарят на предварително об</w:t>
      </w:r>
      <w:r w:rsidR="00B933A4">
        <w:rPr>
          <w:rFonts w:ascii="Verdana" w:eastAsia="Times New Roman" w:hAnsi="Verdana" w:cs="Times New Roman"/>
          <w:bCs/>
          <w:sz w:val="20"/>
          <w:szCs w:val="20"/>
          <w:lang w:val="bg-BG"/>
        </w:rPr>
        <w:t>явените условия за допустимост.</w:t>
      </w:r>
    </w:p>
    <w:p w14:paraId="6EE13548" w14:textId="0D6F2391" w:rsidR="00252761" w:rsidRPr="00252761" w:rsidRDefault="00252761" w:rsidP="00252761">
      <w:pPr>
        <w:autoSpaceDE w:val="0"/>
        <w:autoSpaceDN w:val="0"/>
        <w:adjustRightInd w:val="0"/>
        <w:spacing w:before="20" w:after="20" w:line="240" w:lineRule="auto"/>
        <w:jc w:val="both"/>
        <w:rPr>
          <w:rFonts w:ascii="Verdana" w:eastAsia="Times New Roman" w:hAnsi="Verdana" w:cs="Times New Roman"/>
          <w:bCs/>
          <w:sz w:val="20"/>
          <w:szCs w:val="20"/>
          <w:lang w:val="bg-BG"/>
        </w:rPr>
      </w:pPr>
      <w:r w:rsidRPr="00252761">
        <w:rPr>
          <w:rFonts w:ascii="Verdana" w:eastAsia="Times New Roman" w:hAnsi="Verdana" w:cs="Times New Roman"/>
          <w:bCs/>
          <w:sz w:val="20"/>
          <w:szCs w:val="20"/>
          <w:lang w:val="bg-BG"/>
        </w:rPr>
        <w:tab/>
        <w:t>4. Участниците, чиито технически и ценови предложения не отговарят на изискванията на Възложителя, ще бъдат отстранени от по-нататъшно участие поради несъответствие с услов</w:t>
      </w:r>
      <w:r w:rsidR="00B933A4">
        <w:rPr>
          <w:rFonts w:ascii="Verdana" w:eastAsia="Times New Roman" w:hAnsi="Verdana" w:cs="Times New Roman"/>
          <w:bCs/>
          <w:sz w:val="20"/>
          <w:szCs w:val="20"/>
          <w:lang w:val="bg-BG"/>
        </w:rPr>
        <w:t>ията, поставени от възложителя.</w:t>
      </w:r>
    </w:p>
    <w:p w14:paraId="55646023" w14:textId="46DA33AC" w:rsidR="00252761" w:rsidRPr="00252761" w:rsidRDefault="00252761" w:rsidP="00252761">
      <w:pPr>
        <w:autoSpaceDE w:val="0"/>
        <w:autoSpaceDN w:val="0"/>
        <w:adjustRightInd w:val="0"/>
        <w:spacing w:before="20" w:after="20" w:line="240" w:lineRule="auto"/>
        <w:jc w:val="both"/>
        <w:rPr>
          <w:rFonts w:ascii="Verdana" w:eastAsia="Times New Roman" w:hAnsi="Verdana" w:cs="Times New Roman"/>
          <w:bCs/>
          <w:sz w:val="20"/>
          <w:szCs w:val="20"/>
          <w:lang w:val="bg-BG"/>
        </w:rPr>
      </w:pPr>
      <w:r w:rsidRPr="00252761">
        <w:rPr>
          <w:rFonts w:ascii="Verdana" w:eastAsia="Times New Roman" w:hAnsi="Verdana" w:cs="Times New Roman"/>
          <w:bCs/>
          <w:sz w:val="20"/>
          <w:szCs w:val="20"/>
          <w:lang w:val="bg-BG"/>
        </w:rPr>
        <w:tab/>
        <w:t>5. Класирането на офертите се извършва по низходящ ред на получената обща оценка, изчислена на база показателите за оценка, като на първо място се класира офертата с най-висока обща оценка. Оценките по отделните показатели се представят в числово изражение с точност до втория</w:t>
      </w:r>
      <w:r w:rsidR="00B933A4">
        <w:rPr>
          <w:rFonts w:ascii="Verdana" w:eastAsia="Times New Roman" w:hAnsi="Verdana" w:cs="Times New Roman"/>
          <w:bCs/>
          <w:sz w:val="20"/>
          <w:szCs w:val="20"/>
          <w:lang w:val="bg-BG"/>
        </w:rPr>
        <w:t xml:space="preserve"> знак след десетичната запетая.</w:t>
      </w:r>
    </w:p>
    <w:p w14:paraId="65F45CC4" w14:textId="77A7062B" w:rsidR="00252761" w:rsidRPr="00252761" w:rsidRDefault="00252761" w:rsidP="00252761">
      <w:pPr>
        <w:autoSpaceDE w:val="0"/>
        <w:autoSpaceDN w:val="0"/>
        <w:adjustRightInd w:val="0"/>
        <w:spacing w:before="20" w:after="20" w:line="240" w:lineRule="auto"/>
        <w:jc w:val="both"/>
        <w:rPr>
          <w:rFonts w:ascii="Verdana" w:eastAsia="Times New Roman" w:hAnsi="Verdana" w:cs="Times New Roman"/>
          <w:bCs/>
          <w:sz w:val="20"/>
          <w:szCs w:val="20"/>
          <w:lang w:val="bg-BG"/>
        </w:rPr>
      </w:pPr>
      <w:r w:rsidRPr="00252761">
        <w:rPr>
          <w:rFonts w:ascii="Verdana" w:eastAsia="Times New Roman" w:hAnsi="Verdana" w:cs="Times New Roman"/>
          <w:bCs/>
          <w:sz w:val="20"/>
          <w:szCs w:val="20"/>
          <w:lang w:val="bg-BG"/>
        </w:rPr>
        <w:tab/>
        <w:t>6. Показателите и относителна тежест в комплексната оценка са опи</w:t>
      </w:r>
      <w:r w:rsidR="00B933A4">
        <w:rPr>
          <w:rFonts w:ascii="Verdana" w:eastAsia="Times New Roman" w:hAnsi="Verdana" w:cs="Times New Roman"/>
          <w:bCs/>
          <w:sz w:val="20"/>
          <w:szCs w:val="20"/>
          <w:lang w:val="bg-BG"/>
        </w:rPr>
        <w:t>сани в настоящата документация.</w:t>
      </w:r>
    </w:p>
    <w:p w14:paraId="59CB2453" w14:textId="0FD3708F" w:rsidR="00252761" w:rsidRPr="00252761" w:rsidRDefault="00252761" w:rsidP="00252761">
      <w:pPr>
        <w:autoSpaceDE w:val="0"/>
        <w:autoSpaceDN w:val="0"/>
        <w:adjustRightInd w:val="0"/>
        <w:spacing w:before="20" w:after="20" w:line="240" w:lineRule="auto"/>
        <w:jc w:val="both"/>
        <w:rPr>
          <w:rFonts w:ascii="Verdana" w:eastAsia="Times New Roman" w:hAnsi="Verdana" w:cs="Times New Roman"/>
          <w:bCs/>
          <w:sz w:val="20"/>
          <w:szCs w:val="20"/>
          <w:lang w:val="bg-BG"/>
        </w:rPr>
      </w:pPr>
      <w:r w:rsidRPr="00252761">
        <w:rPr>
          <w:rFonts w:ascii="Verdana" w:eastAsia="Times New Roman" w:hAnsi="Verdana" w:cs="Times New Roman"/>
          <w:bCs/>
          <w:sz w:val="20"/>
          <w:szCs w:val="20"/>
          <w:lang w:val="bg-BG"/>
        </w:rPr>
        <w:tab/>
        <w:t xml:space="preserve">7. Цените се предлагат в български лева, без включен ДДС, до втория </w:t>
      </w:r>
      <w:r w:rsidR="00B933A4">
        <w:rPr>
          <w:rFonts w:ascii="Verdana" w:eastAsia="Times New Roman" w:hAnsi="Verdana" w:cs="Times New Roman"/>
          <w:bCs/>
          <w:sz w:val="20"/>
          <w:szCs w:val="20"/>
          <w:lang w:val="bg-BG"/>
        </w:rPr>
        <w:t xml:space="preserve">знак след десетичната запетая. </w:t>
      </w:r>
    </w:p>
    <w:p w14:paraId="613D7CC9" w14:textId="77777777" w:rsidR="00252761" w:rsidRPr="00252761" w:rsidRDefault="00252761" w:rsidP="00252761">
      <w:pPr>
        <w:autoSpaceDE w:val="0"/>
        <w:autoSpaceDN w:val="0"/>
        <w:adjustRightInd w:val="0"/>
        <w:spacing w:before="20" w:after="20" w:line="240" w:lineRule="auto"/>
        <w:jc w:val="both"/>
        <w:rPr>
          <w:rFonts w:ascii="Verdana" w:eastAsia="Times New Roman" w:hAnsi="Verdana" w:cs="Times New Roman"/>
          <w:bCs/>
          <w:sz w:val="20"/>
          <w:szCs w:val="20"/>
          <w:lang w:val="bg-BG"/>
        </w:rPr>
      </w:pPr>
      <w:r w:rsidRPr="00252761">
        <w:rPr>
          <w:rFonts w:ascii="Verdana" w:eastAsia="Times New Roman" w:hAnsi="Verdana" w:cs="Times New Roman"/>
          <w:bCs/>
          <w:sz w:val="20"/>
          <w:szCs w:val="20"/>
          <w:lang w:val="bg-BG"/>
        </w:rPr>
        <w:tab/>
        <w:t xml:space="preserve">8. В случай че комплексните оценки на две или повече оферти са равни се прилагат разпоредбите на чл. 58 от ППЗОП. </w:t>
      </w:r>
    </w:p>
    <w:p w14:paraId="412F513E" w14:textId="77777777" w:rsidR="00252761" w:rsidRPr="00252761" w:rsidRDefault="00252761" w:rsidP="00252761">
      <w:pPr>
        <w:autoSpaceDE w:val="0"/>
        <w:autoSpaceDN w:val="0"/>
        <w:adjustRightInd w:val="0"/>
        <w:spacing w:before="20" w:after="20" w:line="240" w:lineRule="auto"/>
        <w:jc w:val="both"/>
        <w:rPr>
          <w:rFonts w:ascii="Verdana" w:eastAsia="Times New Roman" w:hAnsi="Verdana" w:cs="Times New Roman"/>
          <w:bCs/>
          <w:sz w:val="20"/>
          <w:szCs w:val="20"/>
          <w:lang w:val="bg-BG"/>
        </w:rPr>
      </w:pPr>
    </w:p>
    <w:p w14:paraId="185E6F66" w14:textId="163E5059" w:rsidR="005F4E35" w:rsidRPr="005F4E35" w:rsidRDefault="005F4E35" w:rsidP="00252761">
      <w:pPr>
        <w:autoSpaceDE w:val="0"/>
        <w:autoSpaceDN w:val="0"/>
        <w:adjustRightInd w:val="0"/>
        <w:spacing w:before="20" w:after="20" w:line="240" w:lineRule="auto"/>
        <w:ind w:firstLine="708"/>
        <w:jc w:val="both"/>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 xml:space="preserve">Оценяването на офертите, които отговарят на предварително обявените от възложителя условия и са допуснати до разглеждане и оценяване, ще бъде извършено </w:t>
      </w:r>
      <w:r w:rsidRPr="005F4E35">
        <w:rPr>
          <w:rFonts w:ascii="Verdana" w:eastAsia="Times New Roman" w:hAnsi="Verdana" w:cs="Times New Roman"/>
          <w:bCs/>
          <w:sz w:val="20"/>
          <w:szCs w:val="20"/>
          <w:lang w:val="bg-BG"/>
        </w:rPr>
        <w:lastRenderedPageBreak/>
        <w:t>съгласно критерия „икономически най-изгодна оферта</w:t>
      </w:r>
      <w:r w:rsidR="00503FB8">
        <w:rPr>
          <w:rFonts w:ascii="Verdana" w:eastAsia="Times New Roman" w:hAnsi="Verdana" w:cs="Times New Roman"/>
          <w:bCs/>
          <w:sz w:val="20"/>
          <w:szCs w:val="20"/>
          <w:lang w:val="bg-BG"/>
        </w:rPr>
        <w:t xml:space="preserve"> въз основа на оптимално съотношение качество/цена</w:t>
      </w:r>
      <w:r w:rsidRPr="005F4E35">
        <w:rPr>
          <w:rFonts w:ascii="Verdana" w:eastAsia="Times New Roman" w:hAnsi="Verdana" w:cs="Times New Roman"/>
          <w:bCs/>
          <w:sz w:val="20"/>
          <w:szCs w:val="20"/>
          <w:lang w:val="bg-BG"/>
        </w:rPr>
        <w:t>”</w:t>
      </w:r>
      <w:r w:rsidR="007C3EBF">
        <w:rPr>
          <w:rFonts w:ascii="Verdana" w:eastAsia="Times New Roman" w:hAnsi="Verdana" w:cs="Times New Roman"/>
          <w:bCs/>
          <w:sz w:val="20"/>
          <w:szCs w:val="20"/>
          <w:lang w:val="bg-BG"/>
        </w:rPr>
        <w:t>,</w:t>
      </w:r>
      <w:r w:rsidRPr="005F4E35">
        <w:rPr>
          <w:rFonts w:ascii="Verdana" w:eastAsia="Times New Roman" w:hAnsi="Verdana" w:cs="Times New Roman"/>
          <w:bCs/>
          <w:sz w:val="20"/>
          <w:szCs w:val="20"/>
          <w:lang w:val="bg-BG"/>
        </w:rPr>
        <w:t xml:space="preserve"> </w:t>
      </w:r>
      <w:r w:rsidR="00503FB8">
        <w:rPr>
          <w:rFonts w:ascii="Verdana" w:eastAsia="Times New Roman" w:hAnsi="Verdana" w:cs="Times New Roman"/>
          <w:bCs/>
          <w:sz w:val="20"/>
          <w:szCs w:val="20"/>
          <w:lang w:val="bg-BG"/>
        </w:rPr>
        <w:t>чрез</w:t>
      </w:r>
      <w:r w:rsidRPr="005F4E35">
        <w:rPr>
          <w:rFonts w:ascii="Verdana" w:eastAsia="Times New Roman" w:hAnsi="Verdana" w:cs="Times New Roman"/>
          <w:bCs/>
          <w:sz w:val="20"/>
          <w:szCs w:val="20"/>
          <w:lang w:val="bg-BG"/>
        </w:rPr>
        <w:t xml:space="preserve"> следните показатели:</w:t>
      </w:r>
    </w:p>
    <w:p w14:paraId="79E4505A" w14:textId="77777777" w:rsidR="005F4E35" w:rsidRPr="005F4E35" w:rsidRDefault="005F4E35" w:rsidP="005F4E35">
      <w:pPr>
        <w:spacing w:before="60" w:after="60" w:line="240" w:lineRule="auto"/>
        <w:ind w:firstLine="360"/>
        <w:jc w:val="right"/>
        <w:rPr>
          <w:rFonts w:ascii="Verdana" w:eastAsia="Times New Roman" w:hAnsi="Verdana" w:cs="Times New Roman"/>
          <w:i/>
          <w:sz w:val="20"/>
          <w:szCs w:val="20"/>
          <w:lang w:val="bg-BG"/>
        </w:rPr>
      </w:pPr>
      <w:r w:rsidRPr="005F4E35">
        <w:rPr>
          <w:rFonts w:ascii="Verdana" w:eastAsia="Times New Roman" w:hAnsi="Verdana" w:cs="Times New Roman"/>
          <w:i/>
          <w:sz w:val="20"/>
          <w:szCs w:val="20"/>
          <w:lang w:val="bg-BG"/>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4"/>
        <w:gridCol w:w="4191"/>
        <w:gridCol w:w="2257"/>
        <w:gridCol w:w="2418"/>
      </w:tblGrid>
      <w:tr w:rsidR="005F4E35" w:rsidRPr="005F4E35" w14:paraId="1642A616" w14:textId="77777777" w:rsidTr="00CF72D7">
        <w:trPr>
          <w:trHeight w:val="185"/>
        </w:trPr>
        <w:tc>
          <w:tcPr>
            <w:tcW w:w="259" w:type="pct"/>
            <w:shd w:val="clear" w:color="auto" w:fill="A6A6A6"/>
          </w:tcPr>
          <w:p w14:paraId="46EB84A8" w14:textId="77777777" w:rsidR="005F4E35" w:rsidRPr="005F4E35" w:rsidRDefault="005F4E35" w:rsidP="005F4E35">
            <w:pPr>
              <w:spacing w:before="60" w:after="60" w:line="240" w:lineRule="auto"/>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w:t>
            </w:r>
          </w:p>
        </w:tc>
        <w:tc>
          <w:tcPr>
            <w:tcW w:w="2241" w:type="pct"/>
            <w:shd w:val="clear" w:color="auto" w:fill="A6A6A6"/>
          </w:tcPr>
          <w:p w14:paraId="544CF387" w14:textId="77777777" w:rsidR="005F4E35" w:rsidRPr="005F4E35" w:rsidRDefault="005F4E35" w:rsidP="005F4E35">
            <w:pPr>
              <w:spacing w:before="60" w:after="60" w:line="240" w:lineRule="auto"/>
              <w:ind w:left="180"/>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Показател</w:t>
            </w:r>
          </w:p>
        </w:tc>
        <w:tc>
          <w:tcPr>
            <w:tcW w:w="1207" w:type="pct"/>
            <w:shd w:val="clear" w:color="auto" w:fill="A6A6A6"/>
          </w:tcPr>
          <w:p w14:paraId="27275B5C" w14:textId="77777777" w:rsidR="005F4E35" w:rsidRPr="005F4E35" w:rsidRDefault="005F4E35" w:rsidP="005F4E35">
            <w:pPr>
              <w:spacing w:before="60" w:after="60" w:line="240" w:lineRule="auto"/>
              <w:ind w:left="180"/>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Максимален брой точки</w:t>
            </w:r>
          </w:p>
        </w:tc>
        <w:tc>
          <w:tcPr>
            <w:tcW w:w="1293" w:type="pct"/>
            <w:shd w:val="clear" w:color="auto" w:fill="A6A6A6"/>
          </w:tcPr>
          <w:p w14:paraId="2BE89FAE" w14:textId="77777777" w:rsidR="005F4E35" w:rsidRPr="005F4E35" w:rsidRDefault="005F4E35" w:rsidP="005F4E35">
            <w:pPr>
              <w:spacing w:before="60" w:after="60" w:line="240" w:lineRule="auto"/>
              <w:ind w:left="180"/>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Относителна тежест</w:t>
            </w:r>
          </w:p>
        </w:tc>
      </w:tr>
      <w:tr w:rsidR="005F4E35" w:rsidRPr="005F4E35" w14:paraId="4B17BA7C" w14:textId="77777777" w:rsidTr="00CF72D7">
        <w:trPr>
          <w:trHeight w:val="185"/>
        </w:trPr>
        <w:tc>
          <w:tcPr>
            <w:tcW w:w="259" w:type="pct"/>
            <w:shd w:val="clear" w:color="auto" w:fill="FFFF99"/>
          </w:tcPr>
          <w:p w14:paraId="15EA6599" w14:textId="77777777" w:rsidR="005F4E35" w:rsidRPr="005F4E35" w:rsidRDefault="005F4E35" w:rsidP="005F4E35">
            <w:pPr>
              <w:spacing w:before="60" w:after="60" w:line="240" w:lineRule="auto"/>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1.</w:t>
            </w:r>
          </w:p>
        </w:tc>
        <w:tc>
          <w:tcPr>
            <w:tcW w:w="2241" w:type="pct"/>
            <w:shd w:val="clear" w:color="auto" w:fill="FFFF99"/>
          </w:tcPr>
          <w:p w14:paraId="5C485C9F" w14:textId="77777777" w:rsidR="005F4E35" w:rsidRPr="005F4E35" w:rsidRDefault="005F4E35" w:rsidP="005F4E35">
            <w:pPr>
              <w:spacing w:before="60" w:after="60" w:line="240" w:lineRule="auto"/>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Техническа оценка на предложението (П1)</w:t>
            </w:r>
          </w:p>
        </w:tc>
        <w:tc>
          <w:tcPr>
            <w:tcW w:w="1207" w:type="pct"/>
            <w:shd w:val="clear" w:color="auto" w:fill="FFFF99"/>
          </w:tcPr>
          <w:p w14:paraId="5F1628E2" w14:textId="77777777" w:rsidR="005F4E35" w:rsidRPr="005F4E35" w:rsidRDefault="005F4E35" w:rsidP="005F4E35">
            <w:pPr>
              <w:spacing w:before="60" w:after="60" w:line="240" w:lineRule="auto"/>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100</w:t>
            </w:r>
          </w:p>
        </w:tc>
        <w:tc>
          <w:tcPr>
            <w:tcW w:w="1293" w:type="pct"/>
            <w:shd w:val="clear" w:color="auto" w:fill="FFFF99"/>
          </w:tcPr>
          <w:p w14:paraId="702B603B" w14:textId="77777777" w:rsidR="005F4E35" w:rsidRPr="005F4E35" w:rsidRDefault="005F4E35" w:rsidP="005F4E35">
            <w:pPr>
              <w:spacing w:before="60" w:after="60" w:line="240" w:lineRule="auto"/>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5</w:t>
            </w:r>
            <w:r w:rsidRPr="005F4E35">
              <w:rPr>
                <w:rFonts w:ascii="Verdana" w:eastAsia="Times New Roman" w:hAnsi="Verdana" w:cs="Times New Roman"/>
                <w:bCs/>
                <w:sz w:val="20"/>
                <w:szCs w:val="20"/>
              </w:rPr>
              <w:t>0</w:t>
            </w:r>
            <w:r w:rsidRPr="005F4E35">
              <w:rPr>
                <w:rFonts w:ascii="Verdana" w:eastAsia="Times New Roman" w:hAnsi="Verdana" w:cs="Times New Roman"/>
                <w:bCs/>
                <w:sz w:val="20"/>
                <w:szCs w:val="20"/>
                <w:lang w:val="bg-BG"/>
              </w:rPr>
              <w:t>%</w:t>
            </w:r>
          </w:p>
        </w:tc>
      </w:tr>
      <w:tr w:rsidR="005F4E35" w:rsidRPr="005F4E35" w14:paraId="46C570B8" w14:textId="77777777" w:rsidTr="00CF72D7">
        <w:trPr>
          <w:trHeight w:val="185"/>
        </w:trPr>
        <w:tc>
          <w:tcPr>
            <w:tcW w:w="259" w:type="pct"/>
            <w:shd w:val="clear" w:color="auto" w:fill="FFFF99"/>
          </w:tcPr>
          <w:p w14:paraId="6859F50C" w14:textId="77777777" w:rsidR="005F4E35" w:rsidRPr="005F4E35" w:rsidRDefault="005F4E35" w:rsidP="005F4E35">
            <w:pPr>
              <w:spacing w:before="60" w:after="60" w:line="240" w:lineRule="auto"/>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2.</w:t>
            </w:r>
          </w:p>
        </w:tc>
        <w:tc>
          <w:tcPr>
            <w:tcW w:w="2241" w:type="pct"/>
            <w:shd w:val="clear" w:color="auto" w:fill="FFFF99"/>
          </w:tcPr>
          <w:p w14:paraId="5E1AAA92" w14:textId="77777777" w:rsidR="005F4E35" w:rsidRPr="005F4E35" w:rsidRDefault="005F4E35" w:rsidP="005F4E35">
            <w:pPr>
              <w:spacing w:before="60" w:after="60" w:line="240" w:lineRule="auto"/>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Финансова оценка на предложението (П2)</w:t>
            </w:r>
          </w:p>
        </w:tc>
        <w:tc>
          <w:tcPr>
            <w:tcW w:w="1207" w:type="pct"/>
            <w:shd w:val="clear" w:color="auto" w:fill="FFFF99"/>
          </w:tcPr>
          <w:p w14:paraId="400E7B61" w14:textId="77777777" w:rsidR="005F4E35" w:rsidRPr="005F4E35" w:rsidRDefault="005F4E35" w:rsidP="005F4E35">
            <w:pPr>
              <w:spacing w:before="60" w:after="60" w:line="240" w:lineRule="auto"/>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100</w:t>
            </w:r>
          </w:p>
        </w:tc>
        <w:tc>
          <w:tcPr>
            <w:tcW w:w="1293" w:type="pct"/>
            <w:shd w:val="clear" w:color="auto" w:fill="FFFF99"/>
          </w:tcPr>
          <w:p w14:paraId="06A01800" w14:textId="77777777" w:rsidR="005F4E35" w:rsidRPr="005F4E35" w:rsidRDefault="005F4E35" w:rsidP="005F4E35">
            <w:pPr>
              <w:spacing w:before="60" w:after="60" w:line="240" w:lineRule="auto"/>
              <w:jc w:val="center"/>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50%</w:t>
            </w:r>
          </w:p>
        </w:tc>
      </w:tr>
    </w:tbl>
    <w:p w14:paraId="1F822FF1" w14:textId="77777777" w:rsidR="005F4E35" w:rsidRPr="005F4E35" w:rsidRDefault="005F4E35" w:rsidP="005F4E35">
      <w:pPr>
        <w:spacing w:before="60" w:after="60" w:line="240" w:lineRule="auto"/>
        <w:ind w:firstLine="708"/>
        <w:jc w:val="both"/>
        <w:rPr>
          <w:rFonts w:ascii="Verdana" w:eastAsia="Times New Roman" w:hAnsi="Verdana" w:cs="Times New Roman"/>
          <w:bCs/>
          <w:sz w:val="20"/>
          <w:szCs w:val="20"/>
          <w:lang w:val="bg-BG"/>
        </w:rPr>
      </w:pPr>
    </w:p>
    <w:p w14:paraId="6075F602" w14:textId="77777777" w:rsidR="005F4E35" w:rsidRPr="005F4E35" w:rsidRDefault="005F4E35" w:rsidP="005F4E35">
      <w:pPr>
        <w:spacing w:before="60" w:after="60" w:line="240" w:lineRule="auto"/>
        <w:ind w:firstLine="708"/>
        <w:jc w:val="both"/>
        <w:rPr>
          <w:rFonts w:ascii="Verdana" w:eastAsia="Times New Roman" w:hAnsi="Verdana" w:cs="Times New Roman"/>
          <w:bCs/>
          <w:sz w:val="20"/>
          <w:szCs w:val="20"/>
          <w:lang w:val="bg-BG"/>
        </w:rPr>
      </w:pPr>
      <w:r w:rsidRPr="005F4E35">
        <w:rPr>
          <w:rFonts w:ascii="Verdana" w:eastAsia="Times New Roman" w:hAnsi="Verdana" w:cs="Times New Roman"/>
          <w:bCs/>
          <w:sz w:val="20"/>
          <w:szCs w:val="20"/>
          <w:lang w:val="bg-BG"/>
        </w:rPr>
        <w:t>Формирането на оценките по отделните показатели и определянето на комплексната оценка на предложенията на участниците в процедурата се извършва, както следва:</w:t>
      </w:r>
    </w:p>
    <w:p w14:paraId="286B932E" w14:textId="77777777" w:rsidR="005F4E35" w:rsidRPr="004E1251" w:rsidRDefault="005F4E35" w:rsidP="005F4E35">
      <w:pPr>
        <w:spacing w:before="60" w:after="60" w:line="240" w:lineRule="auto"/>
        <w:ind w:firstLine="708"/>
        <w:jc w:val="both"/>
        <w:rPr>
          <w:rFonts w:ascii="Verdana" w:eastAsia="Times New Roman" w:hAnsi="Verdana" w:cs="Times New Roman"/>
          <w:b/>
          <w:bCs/>
          <w:sz w:val="20"/>
          <w:szCs w:val="20"/>
          <w:lang w:val="bg-BG"/>
        </w:rPr>
      </w:pPr>
    </w:p>
    <w:p w14:paraId="41FA0721" w14:textId="77777777" w:rsidR="005F4E35" w:rsidRPr="004E1251" w:rsidRDefault="005F4E35" w:rsidP="005F4E35">
      <w:pPr>
        <w:spacing w:before="60" w:after="60" w:line="240" w:lineRule="auto"/>
        <w:ind w:firstLine="708"/>
        <w:jc w:val="both"/>
        <w:rPr>
          <w:rFonts w:ascii="Verdana" w:eastAsia="Times New Roman" w:hAnsi="Verdana" w:cs="Times New Roman"/>
          <w:b/>
          <w:bCs/>
          <w:sz w:val="20"/>
          <w:szCs w:val="20"/>
          <w:lang w:val="bg-BG"/>
        </w:rPr>
      </w:pPr>
      <w:r w:rsidRPr="004E1251">
        <w:rPr>
          <w:rFonts w:ascii="Verdana" w:eastAsia="Times New Roman" w:hAnsi="Verdana" w:cs="Times New Roman"/>
          <w:b/>
          <w:bCs/>
          <w:sz w:val="20"/>
          <w:szCs w:val="20"/>
          <w:lang w:val="bg-BG"/>
        </w:rPr>
        <w:t>1. ТЕХНИЧЕСКА ОЦЕНКА НА ПРЕДЛОЖЕНИЕТО (П</w:t>
      </w:r>
      <w:r w:rsidRPr="004E1251">
        <w:rPr>
          <w:rFonts w:ascii="Verdana" w:eastAsia="Times New Roman" w:hAnsi="Verdana" w:cs="Times New Roman"/>
          <w:b/>
          <w:bCs/>
          <w:sz w:val="20"/>
          <w:szCs w:val="20"/>
          <w:lang w:val="ru-RU"/>
        </w:rPr>
        <w:t>1</w:t>
      </w:r>
      <w:r w:rsidRPr="004E1251">
        <w:rPr>
          <w:rFonts w:ascii="Verdana" w:eastAsia="Times New Roman" w:hAnsi="Verdana" w:cs="Times New Roman"/>
          <w:b/>
          <w:bCs/>
          <w:sz w:val="20"/>
          <w:szCs w:val="20"/>
          <w:lang w:val="bg-BG"/>
        </w:rPr>
        <w:t>)</w:t>
      </w:r>
    </w:p>
    <w:p w14:paraId="2FF05867" w14:textId="6F9BC605" w:rsidR="005F4E35" w:rsidRPr="004A2309" w:rsidRDefault="005F4E35" w:rsidP="005F4E35">
      <w:pPr>
        <w:spacing w:before="60" w:after="60" w:line="240" w:lineRule="auto"/>
        <w:ind w:firstLine="708"/>
        <w:jc w:val="both"/>
        <w:rPr>
          <w:rFonts w:ascii="Verdana" w:eastAsia="Times New Roman" w:hAnsi="Verdana" w:cs="Times New Roman"/>
          <w:bCs/>
          <w:sz w:val="20"/>
          <w:szCs w:val="20"/>
          <w:lang w:val="bg-BG"/>
        </w:rPr>
      </w:pPr>
      <w:r w:rsidRPr="004A2309">
        <w:rPr>
          <w:rFonts w:ascii="Verdana" w:eastAsia="Times New Roman" w:hAnsi="Verdana" w:cs="Times New Roman"/>
          <w:bCs/>
          <w:sz w:val="20"/>
          <w:szCs w:val="20"/>
          <w:lang w:val="bg-BG"/>
        </w:rPr>
        <w:t>Техническата оценка на предложението (П1)</w:t>
      </w:r>
      <w:r w:rsidRPr="004A2309">
        <w:rPr>
          <w:rFonts w:ascii="Verdana" w:eastAsia="Times New Roman" w:hAnsi="Verdana" w:cs="Times New Roman"/>
          <w:bCs/>
          <w:sz w:val="20"/>
          <w:szCs w:val="20"/>
          <w:lang w:val="ru-RU"/>
        </w:rPr>
        <w:t xml:space="preserve"> на </w:t>
      </w:r>
      <w:proofErr w:type="spellStart"/>
      <w:r w:rsidRPr="004A2309">
        <w:rPr>
          <w:rFonts w:ascii="Verdana" w:eastAsia="Times New Roman" w:hAnsi="Verdana" w:cs="Times New Roman"/>
          <w:bCs/>
          <w:sz w:val="20"/>
          <w:szCs w:val="20"/>
          <w:lang w:val="ru-RU"/>
        </w:rPr>
        <w:t>всеки</w:t>
      </w:r>
      <w:proofErr w:type="spellEnd"/>
      <w:r w:rsidRPr="004A2309">
        <w:rPr>
          <w:rFonts w:ascii="Verdana" w:eastAsia="Times New Roman" w:hAnsi="Verdana" w:cs="Times New Roman"/>
          <w:bCs/>
          <w:sz w:val="20"/>
          <w:szCs w:val="20"/>
          <w:lang w:val="ru-RU"/>
        </w:rPr>
        <w:t xml:space="preserve"> един участник се </w:t>
      </w:r>
      <w:proofErr w:type="spellStart"/>
      <w:r w:rsidRPr="004A2309">
        <w:rPr>
          <w:rFonts w:ascii="Verdana" w:eastAsia="Times New Roman" w:hAnsi="Verdana" w:cs="Times New Roman"/>
          <w:bCs/>
          <w:sz w:val="20"/>
          <w:szCs w:val="20"/>
          <w:lang w:val="ru-RU"/>
        </w:rPr>
        <w:t>формира</w:t>
      </w:r>
      <w:proofErr w:type="spellEnd"/>
      <w:r w:rsidRPr="004A2309">
        <w:rPr>
          <w:rFonts w:ascii="Verdana" w:eastAsia="Times New Roman" w:hAnsi="Verdana" w:cs="Times New Roman"/>
          <w:bCs/>
          <w:sz w:val="20"/>
          <w:szCs w:val="20"/>
          <w:lang w:val="ru-RU"/>
        </w:rPr>
        <w:t xml:space="preserve"> </w:t>
      </w:r>
      <w:proofErr w:type="spellStart"/>
      <w:r w:rsidRPr="004A2309">
        <w:rPr>
          <w:rFonts w:ascii="Verdana" w:eastAsia="Times New Roman" w:hAnsi="Verdana" w:cs="Times New Roman"/>
          <w:bCs/>
          <w:sz w:val="20"/>
          <w:szCs w:val="20"/>
          <w:lang w:val="ru-RU"/>
        </w:rPr>
        <w:t>въз</w:t>
      </w:r>
      <w:proofErr w:type="spellEnd"/>
      <w:r w:rsidRPr="004A2309">
        <w:rPr>
          <w:rFonts w:ascii="Verdana" w:eastAsia="Times New Roman" w:hAnsi="Verdana" w:cs="Times New Roman"/>
          <w:bCs/>
          <w:sz w:val="20"/>
          <w:szCs w:val="20"/>
          <w:lang w:val="ru-RU"/>
        </w:rPr>
        <w:t xml:space="preserve"> основа на </w:t>
      </w:r>
      <w:r w:rsidR="004A2309">
        <w:rPr>
          <w:rFonts w:ascii="Verdana" w:eastAsia="Times New Roman" w:hAnsi="Verdana" w:cs="Times New Roman"/>
          <w:bCs/>
          <w:sz w:val="20"/>
          <w:szCs w:val="20"/>
          <w:lang w:val="bg-BG"/>
        </w:rPr>
        <w:t>т</w:t>
      </w:r>
      <w:r w:rsidR="004A2309" w:rsidRPr="004A2309">
        <w:rPr>
          <w:rFonts w:ascii="Verdana" w:eastAsia="Times New Roman" w:hAnsi="Verdana" w:cs="Times New Roman"/>
          <w:bCs/>
          <w:sz w:val="20"/>
          <w:szCs w:val="20"/>
          <w:lang w:val="bg-BG"/>
        </w:rPr>
        <w:t>очковата оценка на всяко едно техническо предложение съгласно п</w:t>
      </w:r>
      <w:r w:rsidR="004A2309">
        <w:rPr>
          <w:rFonts w:ascii="Verdana" w:eastAsia="Times New Roman" w:hAnsi="Verdana" w:cs="Times New Roman"/>
          <w:bCs/>
          <w:sz w:val="20"/>
          <w:szCs w:val="20"/>
          <w:lang w:val="bg-BG"/>
        </w:rPr>
        <w:t xml:space="preserve">о-долу изброените </w:t>
      </w:r>
      <w:proofErr w:type="spellStart"/>
      <w:r w:rsidR="004A2309">
        <w:rPr>
          <w:rFonts w:ascii="Verdana" w:eastAsia="Times New Roman" w:hAnsi="Verdana" w:cs="Times New Roman"/>
          <w:bCs/>
          <w:sz w:val="20"/>
          <w:szCs w:val="20"/>
          <w:lang w:val="bg-BG"/>
        </w:rPr>
        <w:t>подпоказатели</w:t>
      </w:r>
      <w:proofErr w:type="spellEnd"/>
      <w:r w:rsidR="004A2309">
        <w:rPr>
          <w:rFonts w:ascii="Verdana" w:eastAsia="Times New Roman" w:hAnsi="Verdana" w:cs="Times New Roman"/>
          <w:bCs/>
          <w:sz w:val="20"/>
          <w:szCs w:val="20"/>
          <w:lang w:val="bg-BG"/>
        </w:rPr>
        <w:t>:</w:t>
      </w:r>
    </w:p>
    <w:p w14:paraId="327C31F9" w14:textId="77777777" w:rsidR="005F4E35" w:rsidRPr="005F4E35" w:rsidRDefault="005F4E35" w:rsidP="005F4E35">
      <w:pPr>
        <w:spacing w:before="60" w:after="60" w:line="240" w:lineRule="auto"/>
        <w:ind w:firstLine="360"/>
        <w:jc w:val="right"/>
        <w:rPr>
          <w:rFonts w:ascii="Verdana" w:eastAsia="Times New Roman" w:hAnsi="Verdana" w:cs="Times New Roman"/>
          <w:i/>
          <w:sz w:val="20"/>
          <w:szCs w:val="20"/>
          <w:lang w:val="bg-BG"/>
        </w:rPr>
      </w:pPr>
      <w:r w:rsidRPr="005F4E35">
        <w:rPr>
          <w:rFonts w:ascii="Verdana" w:eastAsia="Times New Roman" w:hAnsi="Verdana" w:cs="Times New Roman"/>
          <w:i/>
          <w:sz w:val="20"/>
          <w:szCs w:val="20"/>
          <w:lang w:val="bg-BG"/>
        </w:rPr>
        <w:t>Таблица №1</w:t>
      </w:r>
    </w:p>
    <w:tbl>
      <w:tblPr>
        <w:tblW w:w="4925" w:type="pct"/>
        <w:tblCellMar>
          <w:left w:w="70" w:type="dxa"/>
          <w:right w:w="70" w:type="dxa"/>
        </w:tblCellMar>
        <w:tblLook w:val="0000" w:firstRow="0" w:lastRow="0" w:firstColumn="0" w:lastColumn="0" w:noHBand="0" w:noVBand="0"/>
      </w:tblPr>
      <w:tblGrid>
        <w:gridCol w:w="6517"/>
        <w:gridCol w:w="2693"/>
      </w:tblGrid>
      <w:tr w:rsidR="00726FF4" w:rsidRPr="005F4E35" w14:paraId="79BBE82E" w14:textId="77777777" w:rsidTr="00726FF4">
        <w:trPr>
          <w:trHeight w:hRule="exact" w:val="1244"/>
          <w:tblHeader/>
        </w:trPr>
        <w:tc>
          <w:tcPr>
            <w:tcW w:w="3538" w:type="pct"/>
            <w:tcBorders>
              <w:top w:val="single" w:sz="4" w:space="0" w:color="000000"/>
              <w:left w:val="single" w:sz="4" w:space="0" w:color="000000"/>
              <w:bottom w:val="single" w:sz="4" w:space="0" w:color="000000"/>
            </w:tcBorders>
            <w:shd w:val="clear" w:color="auto" w:fill="A6A6A6"/>
            <w:vAlign w:val="center"/>
          </w:tcPr>
          <w:p w14:paraId="6195ED07" w14:textId="77777777" w:rsidR="00726FF4" w:rsidRPr="005F4E35" w:rsidRDefault="00726FF4" w:rsidP="005F4E35">
            <w:pPr>
              <w:spacing w:before="60" w:after="60" w:line="240" w:lineRule="auto"/>
              <w:jc w:val="center"/>
              <w:rPr>
                <w:rFonts w:ascii="Verdana" w:eastAsia="Times New Roman" w:hAnsi="Verdana" w:cs="Times New Roman"/>
                <w:b/>
                <w:sz w:val="20"/>
                <w:szCs w:val="20"/>
                <w:lang w:val="bg-BG"/>
              </w:rPr>
            </w:pPr>
            <w:proofErr w:type="spellStart"/>
            <w:r w:rsidRPr="005F4E35">
              <w:rPr>
                <w:rFonts w:ascii="Verdana" w:eastAsia="Times New Roman" w:hAnsi="Verdana" w:cs="Times New Roman"/>
                <w:b/>
                <w:sz w:val="20"/>
                <w:szCs w:val="20"/>
                <w:lang w:val="bg-BG"/>
              </w:rPr>
              <w:t>Подпоказател</w:t>
            </w:r>
            <w:proofErr w:type="spellEnd"/>
          </w:p>
        </w:tc>
        <w:tc>
          <w:tcPr>
            <w:tcW w:w="1462" w:type="pct"/>
            <w:tcBorders>
              <w:top w:val="single" w:sz="4" w:space="0" w:color="000000"/>
              <w:left w:val="single" w:sz="4" w:space="0" w:color="000000"/>
              <w:bottom w:val="single" w:sz="4" w:space="0" w:color="000000"/>
              <w:right w:val="single" w:sz="4" w:space="0" w:color="000000"/>
            </w:tcBorders>
            <w:shd w:val="clear" w:color="auto" w:fill="A6A6A6"/>
            <w:vAlign w:val="center"/>
          </w:tcPr>
          <w:p w14:paraId="4FB32200" w14:textId="77777777" w:rsidR="00726FF4" w:rsidRPr="005F4E35" w:rsidRDefault="00726FF4" w:rsidP="005F4E35">
            <w:pPr>
              <w:spacing w:before="60" w:after="60" w:line="240" w:lineRule="auto"/>
              <w:jc w:val="center"/>
              <w:rPr>
                <w:rFonts w:ascii="Verdana" w:eastAsia="Times New Roman" w:hAnsi="Verdana" w:cs="Times New Roman"/>
                <w:b/>
                <w:sz w:val="20"/>
                <w:szCs w:val="20"/>
                <w:lang w:val="bg-BG"/>
              </w:rPr>
            </w:pPr>
            <w:r w:rsidRPr="005F4E35">
              <w:rPr>
                <w:rFonts w:ascii="Verdana" w:eastAsia="Times New Roman" w:hAnsi="Verdana" w:cs="Times New Roman"/>
                <w:b/>
                <w:sz w:val="20"/>
                <w:szCs w:val="20"/>
                <w:lang w:val="bg-BG"/>
              </w:rPr>
              <w:t>Брой точки</w:t>
            </w:r>
          </w:p>
          <w:p w14:paraId="262C2887" w14:textId="77777777" w:rsidR="00726FF4" w:rsidRPr="005F4E35" w:rsidRDefault="00726FF4" w:rsidP="005F4E35">
            <w:pPr>
              <w:spacing w:before="60" w:after="60" w:line="240" w:lineRule="auto"/>
              <w:jc w:val="center"/>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/от – до/</w:t>
            </w:r>
          </w:p>
        </w:tc>
      </w:tr>
      <w:tr w:rsidR="00726FF4" w:rsidRPr="005F4E35" w14:paraId="645590BD" w14:textId="77777777" w:rsidTr="00726FF4">
        <w:trPr>
          <w:trHeight w:val="300"/>
        </w:trPr>
        <w:tc>
          <w:tcPr>
            <w:tcW w:w="3538" w:type="pct"/>
            <w:tcBorders>
              <w:left w:val="single" w:sz="8" w:space="0" w:color="000000"/>
              <w:bottom w:val="single" w:sz="8" w:space="0" w:color="000000"/>
            </w:tcBorders>
            <w:shd w:val="clear" w:color="auto" w:fill="FFFF99"/>
            <w:vAlign w:val="center"/>
          </w:tcPr>
          <w:p w14:paraId="38C71982" w14:textId="77777777" w:rsidR="00726FF4" w:rsidRPr="005F4E35" w:rsidRDefault="00726FF4" w:rsidP="005F4E35">
            <w:pPr>
              <w:spacing w:before="60" w:after="60" w:line="240" w:lineRule="auto"/>
              <w:rPr>
                <w:rFonts w:ascii="Verdana" w:eastAsia="Times New Roman" w:hAnsi="Verdana" w:cs="Times New Roman"/>
                <w:b/>
                <w:sz w:val="20"/>
                <w:szCs w:val="20"/>
                <w:lang w:val="bg-BG"/>
              </w:rPr>
            </w:pPr>
            <w:r w:rsidRPr="005F4E35">
              <w:rPr>
                <w:rFonts w:ascii="Verdana" w:eastAsia="Times New Roman" w:hAnsi="Verdana" w:cs="Times New Roman"/>
                <w:b/>
                <w:sz w:val="20"/>
                <w:szCs w:val="20"/>
                <w:lang w:val="bg-BG"/>
              </w:rPr>
              <w:t>П.1.1 – Категория Хотели</w:t>
            </w:r>
          </w:p>
          <w:p w14:paraId="492A602D" w14:textId="313E9FC3" w:rsidR="00726FF4" w:rsidRPr="005F4E35" w:rsidRDefault="00726FF4" w:rsidP="00726FF4">
            <w:pPr>
              <w:numPr>
                <w:ilvl w:val="0"/>
                <w:numId w:val="46"/>
              </w:numPr>
              <w:tabs>
                <w:tab w:val="left" w:pos="289"/>
              </w:tabs>
              <w:spacing w:after="120" w:line="240" w:lineRule="auto"/>
              <w:ind w:left="0" w:firstLine="0"/>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 xml:space="preserve">При оценката по този </w:t>
            </w:r>
            <w:proofErr w:type="spellStart"/>
            <w:r w:rsidRPr="005F4E35">
              <w:rPr>
                <w:rFonts w:ascii="Verdana" w:eastAsia="Times New Roman" w:hAnsi="Verdana" w:cs="Times New Roman"/>
                <w:sz w:val="20"/>
                <w:szCs w:val="20"/>
                <w:lang w:val="bg-BG"/>
              </w:rPr>
              <w:t>подпоказател</w:t>
            </w:r>
            <w:proofErr w:type="spellEnd"/>
            <w:r w:rsidRPr="005F4E35">
              <w:rPr>
                <w:rFonts w:ascii="Verdana" w:eastAsia="Times New Roman" w:hAnsi="Verdana" w:cs="Times New Roman"/>
                <w:sz w:val="20"/>
                <w:szCs w:val="20"/>
                <w:lang w:val="bg-BG"/>
              </w:rPr>
              <w:t xml:space="preserve"> всеки участник ще получи по </w:t>
            </w:r>
            <w:r>
              <w:rPr>
                <w:rFonts w:ascii="Verdana" w:eastAsia="Times New Roman" w:hAnsi="Verdana" w:cs="Times New Roman"/>
                <w:sz w:val="20"/>
                <w:szCs w:val="20"/>
                <w:lang w:val="bg-BG"/>
              </w:rPr>
              <w:t>8</w:t>
            </w:r>
            <w:r w:rsidRPr="005F4E35">
              <w:rPr>
                <w:rFonts w:ascii="Verdana" w:eastAsia="Times New Roman" w:hAnsi="Verdana" w:cs="Times New Roman"/>
                <w:sz w:val="20"/>
                <w:szCs w:val="20"/>
                <w:lang w:val="bg-BG"/>
              </w:rPr>
              <w:t xml:space="preserve"> точки за всеки от 5-звездните хотели, които е предложил, </w:t>
            </w:r>
            <w:r>
              <w:rPr>
                <w:rFonts w:ascii="Verdana" w:eastAsia="Times New Roman" w:hAnsi="Verdana" w:cs="Times New Roman"/>
                <w:sz w:val="20"/>
                <w:szCs w:val="20"/>
                <w:lang w:val="bg-BG"/>
              </w:rPr>
              <w:t>6</w:t>
            </w:r>
            <w:r w:rsidRPr="005F4E35">
              <w:rPr>
                <w:rFonts w:ascii="Verdana" w:eastAsia="Times New Roman" w:hAnsi="Verdana" w:cs="Times New Roman"/>
                <w:sz w:val="20"/>
                <w:szCs w:val="20"/>
                <w:lang w:val="bg-BG"/>
              </w:rPr>
              <w:t xml:space="preserve"> точки за 4-звездните и </w:t>
            </w:r>
            <w:r>
              <w:rPr>
                <w:rFonts w:ascii="Verdana" w:eastAsia="Times New Roman" w:hAnsi="Verdana" w:cs="Times New Roman"/>
                <w:sz w:val="20"/>
                <w:szCs w:val="20"/>
                <w:lang w:val="bg-BG"/>
              </w:rPr>
              <w:t>4</w:t>
            </w:r>
            <w:r w:rsidRPr="005F4E35">
              <w:rPr>
                <w:rFonts w:ascii="Verdana" w:eastAsia="Times New Roman" w:hAnsi="Verdana" w:cs="Times New Roman"/>
                <w:sz w:val="20"/>
                <w:szCs w:val="20"/>
                <w:lang w:val="bg-BG"/>
              </w:rPr>
              <w:t xml:space="preserve"> точки за 3-звездните, във всеки един от </w:t>
            </w:r>
            <w:r>
              <w:rPr>
                <w:rFonts w:ascii="Verdana" w:eastAsia="Times New Roman" w:hAnsi="Verdana" w:cs="Times New Roman"/>
                <w:sz w:val="20"/>
                <w:szCs w:val="20"/>
                <w:lang w:val="bg-BG"/>
              </w:rPr>
              <w:t>петте</w:t>
            </w:r>
            <w:r w:rsidRPr="005F4E35">
              <w:rPr>
                <w:rFonts w:ascii="Verdana" w:eastAsia="Times New Roman" w:hAnsi="Verdana" w:cs="Times New Roman"/>
                <w:sz w:val="20"/>
                <w:szCs w:val="20"/>
                <w:lang w:val="bg-BG"/>
              </w:rPr>
              <w:t xml:space="preserve"> града, в които ще се провеждат обученията</w:t>
            </w:r>
          </w:p>
        </w:tc>
        <w:tc>
          <w:tcPr>
            <w:tcW w:w="1462" w:type="pct"/>
            <w:tcBorders>
              <w:left w:val="single" w:sz="4" w:space="0" w:color="000000"/>
              <w:bottom w:val="single" w:sz="8" w:space="0" w:color="000000"/>
              <w:right w:val="single" w:sz="8" w:space="0" w:color="000000"/>
            </w:tcBorders>
            <w:shd w:val="clear" w:color="auto" w:fill="FFFF99"/>
            <w:vAlign w:val="center"/>
          </w:tcPr>
          <w:p w14:paraId="79B870EA" w14:textId="5C04DC93" w:rsidR="00726FF4" w:rsidRPr="005F4E35" w:rsidRDefault="00726FF4" w:rsidP="002C466B">
            <w:pPr>
              <w:spacing w:before="60" w:after="60" w:line="240" w:lineRule="auto"/>
              <w:jc w:val="center"/>
              <w:rPr>
                <w:rFonts w:ascii="Verdana" w:eastAsia="Times New Roman" w:hAnsi="Verdana" w:cs="Times New Roman"/>
                <w:sz w:val="20"/>
                <w:szCs w:val="20"/>
                <w:lang w:val="bg-BG"/>
              </w:rPr>
            </w:pPr>
            <w:r>
              <w:rPr>
                <w:rFonts w:ascii="Verdana" w:eastAsia="Times New Roman" w:hAnsi="Verdana" w:cs="Times New Roman"/>
                <w:sz w:val="20"/>
                <w:szCs w:val="20"/>
                <w:lang w:val="bg-BG"/>
              </w:rPr>
              <w:t>20</w:t>
            </w:r>
            <w:r w:rsidRPr="005F4E35">
              <w:rPr>
                <w:rFonts w:ascii="Verdana" w:eastAsia="Times New Roman" w:hAnsi="Verdana" w:cs="Times New Roman"/>
                <w:sz w:val="20"/>
                <w:szCs w:val="20"/>
                <w:lang w:val="bg-BG"/>
              </w:rPr>
              <w:t xml:space="preserve"> – </w:t>
            </w:r>
            <w:r>
              <w:rPr>
                <w:rFonts w:ascii="Verdana" w:eastAsia="Times New Roman" w:hAnsi="Verdana" w:cs="Times New Roman"/>
                <w:sz w:val="20"/>
                <w:szCs w:val="20"/>
                <w:lang w:val="bg-BG"/>
              </w:rPr>
              <w:t>4</w:t>
            </w:r>
            <w:r w:rsidRPr="005F4E35">
              <w:rPr>
                <w:rFonts w:ascii="Verdana" w:eastAsia="Times New Roman" w:hAnsi="Verdana" w:cs="Times New Roman"/>
                <w:sz w:val="20"/>
                <w:szCs w:val="20"/>
                <w:lang w:val="bg-BG"/>
              </w:rPr>
              <w:t>0</w:t>
            </w:r>
          </w:p>
        </w:tc>
      </w:tr>
      <w:tr w:rsidR="00726FF4" w:rsidRPr="005F4E35" w14:paraId="5116A301" w14:textId="77777777" w:rsidTr="00726FF4">
        <w:trPr>
          <w:trHeight w:val="300"/>
        </w:trPr>
        <w:tc>
          <w:tcPr>
            <w:tcW w:w="3538" w:type="pct"/>
            <w:tcBorders>
              <w:left w:val="single" w:sz="8" w:space="0" w:color="000000"/>
              <w:bottom w:val="single" w:sz="4" w:space="0" w:color="auto"/>
            </w:tcBorders>
            <w:shd w:val="clear" w:color="auto" w:fill="FFFF99"/>
            <w:vAlign w:val="center"/>
          </w:tcPr>
          <w:p w14:paraId="419E8CFC" w14:textId="59D056C5" w:rsidR="00726FF4" w:rsidRPr="005F4E35" w:rsidRDefault="00726FF4" w:rsidP="005F4E35">
            <w:pPr>
              <w:spacing w:before="60" w:after="60" w:line="240" w:lineRule="auto"/>
              <w:rPr>
                <w:rFonts w:ascii="Verdana" w:eastAsia="Times New Roman" w:hAnsi="Verdana" w:cs="Times New Roman"/>
                <w:b/>
                <w:sz w:val="20"/>
                <w:szCs w:val="20"/>
                <w:lang w:val="bg-BG"/>
              </w:rPr>
            </w:pPr>
            <w:r w:rsidRPr="005F4E35">
              <w:rPr>
                <w:rFonts w:ascii="Verdana" w:eastAsia="Times New Roman" w:hAnsi="Verdana" w:cs="Times New Roman"/>
                <w:b/>
                <w:sz w:val="20"/>
                <w:szCs w:val="20"/>
                <w:lang w:val="bg-BG"/>
              </w:rPr>
              <w:t xml:space="preserve">П.1.2 – </w:t>
            </w:r>
            <w:r>
              <w:rPr>
                <w:rFonts w:ascii="Verdana" w:eastAsia="Times New Roman" w:hAnsi="Verdana" w:cs="Times New Roman"/>
                <w:b/>
                <w:sz w:val="20"/>
                <w:szCs w:val="20"/>
                <w:lang w:val="bg-BG"/>
              </w:rPr>
              <w:t>Разбиране на потребностите от обучения на отделните целеви групи – служители на ИА ГИТ (действащи инспектори (теми №№ 1, 2,3 , 4, 5, 6, 8, 9, 10, 11</w:t>
            </w:r>
            <w:r w:rsidR="005A55F1">
              <w:rPr>
                <w:rFonts w:ascii="Verdana" w:eastAsia="Times New Roman" w:hAnsi="Verdana" w:cs="Times New Roman"/>
                <w:b/>
                <w:sz w:val="20"/>
                <w:szCs w:val="20"/>
                <w:lang w:val="bg-BG"/>
              </w:rPr>
              <w:t>) новоназначени инспектори (теми</w:t>
            </w:r>
            <w:r>
              <w:rPr>
                <w:rFonts w:ascii="Verdana" w:eastAsia="Times New Roman" w:hAnsi="Verdana" w:cs="Times New Roman"/>
                <w:b/>
                <w:sz w:val="20"/>
                <w:szCs w:val="20"/>
                <w:lang w:val="bg-BG"/>
              </w:rPr>
              <w:t xml:space="preserve"> </w:t>
            </w:r>
            <w:r w:rsidR="005A55F1">
              <w:rPr>
                <w:rFonts w:ascii="Verdana" w:eastAsia="Times New Roman" w:hAnsi="Verdana" w:cs="Times New Roman"/>
                <w:b/>
                <w:sz w:val="20"/>
                <w:szCs w:val="20"/>
                <w:lang w:val="bg-BG"/>
              </w:rPr>
              <w:t>№</w:t>
            </w:r>
            <w:r>
              <w:rPr>
                <w:rFonts w:ascii="Verdana" w:eastAsia="Times New Roman" w:hAnsi="Verdana" w:cs="Times New Roman"/>
                <w:b/>
                <w:sz w:val="20"/>
                <w:szCs w:val="20"/>
                <w:lang w:val="bg-BG"/>
              </w:rPr>
              <w:t>№ 7, 11), юрисконсулти (теми №№ 9, 10, 11).</w:t>
            </w:r>
          </w:p>
          <w:p w14:paraId="7A936FB8" w14:textId="2C2A68BA" w:rsidR="00726FF4" w:rsidRDefault="00726FF4" w:rsidP="005F4E35">
            <w:pPr>
              <w:spacing w:before="60" w:after="60" w:line="240" w:lineRule="auto"/>
              <w:rPr>
                <w:rFonts w:ascii="Verdana" w:eastAsia="Times New Roman" w:hAnsi="Verdana" w:cs="Times New Roman"/>
                <w:sz w:val="20"/>
                <w:szCs w:val="20"/>
                <w:lang w:val="bg-BG"/>
              </w:rPr>
            </w:pPr>
            <w:r>
              <w:rPr>
                <w:rFonts w:ascii="Verdana" w:eastAsia="Times New Roman" w:hAnsi="Verdana" w:cs="Times New Roman"/>
                <w:sz w:val="20"/>
                <w:szCs w:val="20"/>
                <w:lang w:val="bg-BG"/>
              </w:rPr>
              <w:t xml:space="preserve">24 точки получава участник, който в анализа е отчел особеностите на всяка целева група. Очакваните нови </w:t>
            </w:r>
            <w:r>
              <w:rPr>
                <w:rFonts w:ascii="Verdana" w:eastAsia="Times New Roman" w:hAnsi="Verdana" w:cs="Times New Roman"/>
                <w:sz w:val="20"/>
                <w:szCs w:val="20"/>
                <w:lang w:val="bg-BG"/>
              </w:rPr>
              <w:lastRenderedPageBreak/>
              <w:t>знания и умения, които следва да придобият обучаваните, отчитат спецификата на дейността на ИА ГИТ и са съобразени със състава на отделните целеви групи, като е отчетено вероятното входно ниво на обучаваните и са посочени средствата, чрез които ще бъде определено това входно ниво.</w:t>
            </w:r>
          </w:p>
          <w:p w14:paraId="7FFCB5B5" w14:textId="7200744B" w:rsidR="00726FF4" w:rsidRDefault="00726FF4" w:rsidP="00FB1520">
            <w:pPr>
              <w:spacing w:before="60" w:after="60" w:line="240" w:lineRule="auto"/>
              <w:rPr>
                <w:rFonts w:ascii="Verdana" w:eastAsia="Times New Roman" w:hAnsi="Verdana" w:cs="Times New Roman"/>
                <w:sz w:val="20"/>
                <w:szCs w:val="20"/>
                <w:lang w:val="bg-BG"/>
              </w:rPr>
            </w:pPr>
            <w:r>
              <w:rPr>
                <w:rFonts w:ascii="Verdana" w:eastAsia="Times New Roman" w:hAnsi="Verdana" w:cs="Times New Roman"/>
                <w:sz w:val="20"/>
                <w:szCs w:val="20"/>
                <w:lang w:val="bg-BG"/>
              </w:rPr>
              <w:t>18 точки получава участник, който в анализа е отчел особеностите на всяка целева група. Очакваните нови знания и умения, които следва да придобият обучаваните, не отчитат в достатъчна степен спецификата на дейността на ИА ГИТ, но са съобразени със състава на отделните целеви групи, като е отчетено вероятното входно ниво на обучаваните и са посочени средствата, чрез които ще бъде определено това входно ниво.</w:t>
            </w:r>
          </w:p>
          <w:p w14:paraId="4D8F572E" w14:textId="167A6174" w:rsidR="00726FF4" w:rsidRDefault="00726FF4" w:rsidP="00FB1520">
            <w:pPr>
              <w:spacing w:before="60" w:after="60" w:line="240" w:lineRule="auto"/>
              <w:rPr>
                <w:rFonts w:ascii="Verdana" w:eastAsia="Times New Roman" w:hAnsi="Verdana" w:cs="Times New Roman"/>
                <w:sz w:val="20"/>
                <w:szCs w:val="20"/>
                <w:lang w:val="bg-BG"/>
              </w:rPr>
            </w:pPr>
            <w:r>
              <w:rPr>
                <w:rFonts w:ascii="Verdana" w:eastAsia="Times New Roman" w:hAnsi="Verdana" w:cs="Times New Roman"/>
                <w:sz w:val="20"/>
                <w:szCs w:val="20"/>
                <w:lang w:val="bg-BG"/>
              </w:rPr>
              <w:t>12 точки получава участник, който в анализа не е отчел особеностите на всяка целева група. Очакваните нови знания и умения, които следва да придобият обучаваните, отчитат спецификата на дейността на ИА ГИТ и са съобразени със състава на отделните целеви групи, като е отчетено вероятното входно ниво на обучаваните и са посочени средствата, чрез които ще бъде определено това входно ниво.</w:t>
            </w:r>
          </w:p>
          <w:p w14:paraId="0531CD53" w14:textId="6FF94A86" w:rsidR="00726FF4" w:rsidRPr="005F4E35" w:rsidRDefault="00726FF4" w:rsidP="005F4E35">
            <w:pPr>
              <w:spacing w:before="60" w:after="60" w:line="240" w:lineRule="auto"/>
              <w:rPr>
                <w:rFonts w:ascii="Verdana" w:eastAsia="Times New Roman" w:hAnsi="Verdana" w:cs="Times New Roman"/>
                <w:sz w:val="20"/>
                <w:szCs w:val="20"/>
                <w:lang w:val="bg-BG"/>
              </w:rPr>
            </w:pPr>
            <w:r>
              <w:rPr>
                <w:rFonts w:ascii="Verdana" w:eastAsia="Times New Roman" w:hAnsi="Verdana" w:cs="Times New Roman"/>
                <w:sz w:val="20"/>
                <w:szCs w:val="20"/>
                <w:lang w:val="bg-BG"/>
              </w:rPr>
              <w:t>6 точки получава участник, който в анализа не е отчел в достатъчна степен особеностите на всяка целева група. Очакваните нови знания и умения, които следва да придобият обучаваните, не отчитат спецификата на дейността на ИА ГИТ и не са съобразени със състава на отделните целеви групи, като не е отчетено вероятното входно ниво на обучаваните и не са посочени средствата, чрез които ще бъде определено това входно ниво.</w:t>
            </w:r>
          </w:p>
        </w:tc>
        <w:tc>
          <w:tcPr>
            <w:tcW w:w="1462" w:type="pct"/>
            <w:tcBorders>
              <w:left w:val="single" w:sz="4" w:space="0" w:color="000000"/>
              <w:bottom w:val="single" w:sz="4" w:space="0" w:color="auto"/>
              <w:right w:val="single" w:sz="8" w:space="0" w:color="000000"/>
            </w:tcBorders>
            <w:shd w:val="clear" w:color="auto" w:fill="FFFF99"/>
            <w:vAlign w:val="center"/>
          </w:tcPr>
          <w:p w14:paraId="629E96C8" w14:textId="0F5E546E" w:rsidR="00726FF4" w:rsidRPr="005F4E35" w:rsidRDefault="00726FF4" w:rsidP="00AF648E">
            <w:pPr>
              <w:spacing w:before="60" w:after="60" w:line="240" w:lineRule="auto"/>
              <w:jc w:val="center"/>
              <w:rPr>
                <w:rFonts w:ascii="Verdana" w:eastAsia="Times New Roman" w:hAnsi="Verdana" w:cs="Times New Roman"/>
                <w:sz w:val="20"/>
                <w:szCs w:val="20"/>
                <w:lang w:val="bg-BG"/>
              </w:rPr>
            </w:pPr>
            <w:r>
              <w:rPr>
                <w:rFonts w:ascii="Verdana" w:eastAsia="Times New Roman" w:hAnsi="Verdana" w:cs="Times New Roman"/>
                <w:sz w:val="20"/>
                <w:szCs w:val="20"/>
                <w:lang w:val="bg-BG"/>
              </w:rPr>
              <w:lastRenderedPageBreak/>
              <w:t xml:space="preserve">6 </w:t>
            </w:r>
            <w:r w:rsidRPr="005F4E35">
              <w:rPr>
                <w:rFonts w:ascii="Verdana" w:eastAsia="Times New Roman" w:hAnsi="Verdana" w:cs="Times New Roman"/>
                <w:sz w:val="20"/>
                <w:szCs w:val="20"/>
                <w:lang w:val="bg-BG"/>
              </w:rPr>
              <w:t xml:space="preserve">– </w:t>
            </w:r>
            <w:r>
              <w:rPr>
                <w:rFonts w:ascii="Verdana" w:eastAsia="Times New Roman" w:hAnsi="Verdana" w:cs="Times New Roman"/>
                <w:sz w:val="20"/>
                <w:szCs w:val="20"/>
                <w:lang w:val="bg-BG"/>
              </w:rPr>
              <w:t>24</w:t>
            </w:r>
          </w:p>
        </w:tc>
      </w:tr>
      <w:tr w:rsidR="00726FF4" w:rsidRPr="005F4E35" w14:paraId="3F86E191" w14:textId="77777777" w:rsidTr="00726FF4">
        <w:trPr>
          <w:trHeight w:val="300"/>
        </w:trPr>
        <w:tc>
          <w:tcPr>
            <w:tcW w:w="3538" w:type="pct"/>
            <w:tcBorders>
              <w:top w:val="single" w:sz="4" w:space="0" w:color="auto"/>
              <w:left w:val="single" w:sz="4" w:space="0" w:color="auto"/>
              <w:bottom w:val="single" w:sz="4" w:space="0" w:color="auto"/>
              <w:right w:val="single" w:sz="4" w:space="0" w:color="auto"/>
            </w:tcBorders>
            <w:shd w:val="clear" w:color="auto" w:fill="FFFF99"/>
            <w:vAlign w:val="center"/>
          </w:tcPr>
          <w:p w14:paraId="2B3F4A54" w14:textId="00FEB6B1" w:rsidR="00726FF4" w:rsidRDefault="00726FF4" w:rsidP="009A22DF">
            <w:pPr>
              <w:spacing w:before="60" w:after="60" w:line="240" w:lineRule="auto"/>
              <w:rPr>
                <w:rFonts w:ascii="Verdana" w:eastAsia="Times New Roman" w:hAnsi="Verdana" w:cs="Times New Roman"/>
                <w:b/>
                <w:sz w:val="20"/>
                <w:szCs w:val="20"/>
                <w:lang w:val="bg-BG"/>
              </w:rPr>
            </w:pPr>
            <w:r>
              <w:rPr>
                <w:rFonts w:ascii="Verdana" w:eastAsia="Times New Roman" w:hAnsi="Verdana" w:cs="Times New Roman"/>
                <w:b/>
                <w:sz w:val="20"/>
                <w:szCs w:val="20"/>
                <w:lang w:val="bg-BG"/>
              </w:rPr>
              <w:t>П.1.3 Дидактически анализ и прилагани дидактически принципи.</w:t>
            </w:r>
          </w:p>
          <w:p w14:paraId="637A8E47" w14:textId="614CDC3A" w:rsidR="00726FF4" w:rsidRDefault="00726FF4" w:rsidP="0032282C">
            <w:pPr>
              <w:spacing w:before="60" w:after="60" w:line="240" w:lineRule="auto"/>
              <w:rPr>
                <w:rFonts w:ascii="Verdana" w:eastAsia="Times New Roman" w:hAnsi="Verdana" w:cs="Times New Roman"/>
                <w:sz w:val="20"/>
                <w:szCs w:val="20"/>
                <w:lang w:val="bg-BG"/>
              </w:rPr>
            </w:pPr>
            <w:r>
              <w:rPr>
                <w:rFonts w:ascii="Verdana" w:eastAsia="Times New Roman" w:hAnsi="Verdana" w:cs="Times New Roman"/>
                <w:sz w:val="20"/>
                <w:szCs w:val="20"/>
                <w:lang w:val="bg-BG"/>
              </w:rPr>
              <w:t xml:space="preserve">36 точки получава участник, който в анализа е съобразил предвидените дидактически принципи с особеностите на всяка целева група, като е отчетен факта, че се провежда обучение на възрастни с известен професионален и жизнен </w:t>
            </w:r>
            <w:r>
              <w:rPr>
                <w:rFonts w:ascii="Verdana" w:eastAsia="Times New Roman" w:hAnsi="Verdana" w:cs="Times New Roman"/>
                <w:sz w:val="20"/>
                <w:szCs w:val="20"/>
                <w:lang w:val="bg-BG"/>
              </w:rPr>
              <w:lastRenderedPageBreak/>
              <w:t>опит. Предложените от участника дидактически методи изцяло съответстват на предвидените дидактически принципи, като е посочена връзката между тях. Принципите и методите са разнообразни и съобразени с целевата група и очакваните знания и умения, които следва да придобият обучаваните. Описани са подробно учебните материали, които ще използва при прилагане на отделните методи и са аргументирани случаите, при които определен метод не изисква предварително разработени учебни материали.</w:t>
            </w:r>
          </w:p>
          <w:p w14:paraId="15F7A27E" w14:textId="2BB437D9" w:rsidR="00726FF4" w:rsidRDefault="00726FF4" w:rsidP="0032282C">
            <w:pPr>
              <w:spacing w:before="60" w:after="60" w:line="240" w:lineRule="auto"/>
              <w:rPr>
                <w:rFonts w:ascii="Verdana" w:eastAsia="Times New Roman" w:hAnsi="Verdana" w:cs="Times New Roman"/>
                <w:sz w:val="20"/>
                <w:szCs w:val="20"/>
                <w:lang w:val="bg-BG"/>
              </w:rPr>
            </w:pPr>
            <w:r>
              <w:rPr>
                <w:rFonts w:ascii="Verdana" w:eastAsia="Times New Roman" w:hAnsi="Verdana" w:cs="Times New Roman"/>
                <w:sz w:val="20"/>
                <w:szCs w:val="20"/>
                <w:lang w:val="bg-BG"/>
              </w:rPr>
              <w:t>27 точки получава участник, който в анализа е съобразил предвидените дидактически принципи с особеностите на всяка целева група, като е отчетен факта, че се провежда обучение на възрастни с известен професионален и жизнен опит. Предложените от участника дидактически методи не кореспондират изцяло с предвидените дидактически принципи, н</w:t>
            </w:r>
            <w:r w:rsidR="009B5830">
              <w:rPr>
                <w:rFonts w:ascii="Verdana" w:eastAsia="Times New Roman" w:hAnsi="Verdana" w:cs="Times New Roman"/>
                <w:sz w:val="20"/>
                <w:szCs w:val="20"/>
                <w:lang w:val="bg-BG"/>
              </w:rPr>
              <w:t>о</w:t>
            </w:r>
            <w:r>
              <w:rPr>
                <w:rFonts w:ascii="Verdana" w:eastAsia="Times New Roman" w:hAnsi="Verdana" w:cs="Times New Roman"/>
                <w:sz w:val="20"/>
                <w:szCs w:val="20"/>
                <w:lang w:val="bg-BG"/>
              </w:rPr>
              <w:t xml:space="preserve"> </w:t>
            </w:r>
            <w:r w:rsidR="009B5830">
              <w:rPr>
                <w:rFonts w:ascii="Verdana" w:eastAsia="Times New Roman" w:hAnsi="Verdana" w:cs="Times New Roman"/>
                <w:sz w:val="20"/>
                <w:szCs w:val="20"/>
                <w:lang w:val="bg-BG"/>
              </w:rPr>
              <w:t>е посочена</w:t>
            </w:r>
            <w:r>
              <w:rPr>
                <w:rFonts w:ascii="Verdana" w:eastAsia="Times New Roman" w:hAnsi="Verdana" w:cs="Times New Roman"/>
                <w:sz w:val="20"/>
                <w:szCs w:val="20"/>
                <w:lang w:val="bg-BG"/>
              </w:rPr>
              <w:t xml:space="preserve"> връзката между тях. Принципите и методите са разнообразни и съобразени с целевата група и очакваните знания и умения, които следва да придобият обучаваните. </w:t>
            </w:r>
            <w:r w:rsidRPr="004A1CA1">
              <w:rPr>
                <w:rFonts w:ascii="Verdana" w:eastAsia="Times New Roman" w:hAnsi="Verdana" w:cs="Times New Roman"/>
                <w:sz w:val="20"/>
                <w:szCs w:val="20"/>
                <w:lang w:val="bg-BG"/>
              </w:rPr>
              <w:t>Описани са подробно учебните материали, които ще използва при прилагане на отделните методи и са аргументирани случаите, при които определен метод не изисква предварително разработени учебни материали.</w:t>
            </w:r>
          </w:p>
          <w:p w14:paraId="2D8FED0A" w14:textId="65ADCF69" w:rsidR="00726FF4" w:rsidRDefault="00726FF4" w:rsidP="0032282C">
            <w:pPr>
              <w:spacing w:before="60" w:after="60" w:line="240" w:lineRule="auto"/>
              <w:rPr>
                <w:rFonts w:ascii="Verdana" w:eastAsia="Times New Roman" w:hAnsi="Verdana" w:cs="Times New Roman"/>
                <w:sz w:val="20"/>
                <w:szCs w:val="20"/>
                <w:lang w:val="bg-BG"/>
              </w:rPr>
            </w:pPr>
            <w:r>
              <w:rPr>
                <w:rFonts w:ascii="Verdana" w:eastAsia="Times New Roman" w:hAnsi="Verdana" w:cs="Times New Roman"/>
                <w:sz w:val="20"/>
                <w:szCs w:val="20"/>
                <w:lang w:val="bg-BG"/>
              </w:rPr>
              <w:t xml:space="preserve">18 точки получава участник, който в анализа е съобразил предвидените дидактически принципи с особеностите на всяка целева група, като е отчетен факта, че се провежда обучение на възрастни с известен професионален и жизнен опит. </w:t>
            </w:r>
            <w:r w:rsidR="009B5830" w:rsidRPr="009B5830">
              <w:rPr>
                <w:rFonts w:ascii="Verdana" w:eastAsia="Times New Roman" w:hAnsi="Verdana" w:cs="Times New Roman"/>
                <w:sz w:val="20"/>
                <w:szCs w:val="20"/>
                <w:lang w:val="bg-BG"/>
              </w:rPr>
              <w:t>Предложените от участника дидактически методи не кореспондират изцяло с предвидените дидактически принципи, н</w:t>
            </w:r>
            <w:r w:rsidR="009B5830">
              <w:rPr>
                <w:rFonts w:ascii="Verdana" w:eastAsia="Times New Roman" w:hAnsi="Verdana" w:cs="Times New Roman"/>
                <w:sz w:val="20"/>
                <w:szCs w:val="20"/>
                <w:lang w:val="bg-BG"/>
              </w:rPr>
              <w:t>о</w:t>
            </w:r>
            <w:r w:rsidR="009B5830" w:rsidRPr="009B5830">
              <w:rPr>
                <w:rFonts w:ascii="Verdana" w:eastAsia="Times New Roman" w:hAnsi="Verdana" w:cs="Times New Roman"/>
                <w:sz w:val="20"/>
                <w:szCs w:val="20"/>
                <w:lang w:val="bg-BG"/>
              </w:rPr>
              <w:t xml:space="preserve"> е </w:t>
            </w:r>
            <w:r w:rsidR="009B5830">
              <w:rPr>
                <w:rFonts w:ascii="Verdana" w:eastAsia="Times New Roman" w:hAnsi="Verdana" w:cs="Times New Roman"/>
                <w:sz w:val="20"/>
                <w:szCs w:val="20"/>
                <w:lang w:val="bg-BG"/>
              </w:rPr>
              <w:t xml:space="preserve">посочена </w:t>
            </w:r>
            <w:r w:rsidR="009B5830" w:rsidRPr="009B5830">
              <w:rPr>
                <w:rFonts w:ascii="Verdana" w:eastAsia="Times New Roman" w:hAnsi="Verdana" w:cs="Times New Roman"/>
                <w:sz w:val="20"/>
                <w:szCs w:val="20"/>
                <w:lang w:val="bg-BG"/>
              </w:rPr>
              <w:t xml:space="preserve">връзката между тях. </w:t>
            </w:r>
            <w:r>
              <w:rPr>
                <w:rFonts w:ascii="Verdana" w:eastAsia="Times New Roman" w:hAnsi="Verdana" w:cs="Times New Roman"/>
                <w:sz w:val="20"/>
                <w:szCs w:val="20"/>
                <w:lang w:val="bg-BG"/>
              </w:rPr>
              <w:t>Принципите и методите не са разнообразни, но са съобразени с целевата група и очакваните знания и умения, които следва да придобият обучаваните. Не са описани подробно учебните материали, които ще използва при прилагане на отделните методи, но са аргументирани случаите, при които определен метод не изисква предварително разработени учебни материали.</w:t>
            </w:r>
          </w:p>
          <w:p w14:paraId="132FA3C3" w14:textId="3D9E34CD" w:rsidR="00726FF4" w:rsidRPr="004A1CA1" w:rsidRDefault="00726FF4" w:rsidP="009B5830">
            <w:pPr>
              <w:spacing w:before="60" w:after="60" w:line="240" w:lineRule="auto"/>
              <w:rPr>
                <w:rFonts w:ascii="Verdana" w:eastAsia="Times New Roman" w:hAnsi="Verdana" w:cs="Times New Roman"/>
                <w:sz w:val="20"/>
                <w:szCs w:val="20"/>
                <w:lang w:val="bg-BG"/>
              </w:rPr>
            </w:pPr>
            <w:r>
              <w:rPr>
                <w:rFonts w:ascii="Verdana" w:eastAsia="Times New Roman" w:hAnsi="Verdana" w:cs="Times New Roman"/>
                <w:sz w:val="20"/>
                <w:szCs w:val="20"/>
                <w:lang w:val="bg-BG"/>
              </w:rPr>
              <w:lastRenderedPageBreak/>
              <w:t xml:space="preserve">9 точки получава участник, който в анализа е съобразил предвидените дидактически принципи с особеностите на всяка целева група, като е отчетен факта, че се провежда обучение на възрастни с известен професионален и жизнен опит. </w:t>
            </w:r>
            <w:r w:rsidR="009B5830" w:rsidRPr="009B5830">
              <w:rPr>
                <w:rFonts w:ascii="Verdana" w:eastAsia="Times New Roman" w:hAnsi="Verdana" w:cs="Times New Roman"/>
                <w:sz w:val="20"/>
                <w:szCs w:val="20"/>
                <w:lang w:val="bg-BG"/>
              </w:rPr>
              <w:t>Предложените от участника дидактически методи не кореспондират изцяло с предвидените дидактически принципи, н</w:t>
            </w:r>
            <w:r w:rsidR="009B5830">
              <w:rPr>
                <w:rFonts w:ascii="Verdana" w:eastAsia="Times New Roman" w:hAnsi="Verdana" w:cs="Times New Roman"/>
                <w:sz w:val="20"/>
                <w:szCs w:val="20"/>
                <w:lang w:val="bg-BG"/>
              </w:rPr>
              <w:t>е</w:t>
            </w:r>
            <w:r w:rsidR="009B5830" w:rsidRPr="009B5830">
              <w:rPr>
                <w:rFonts w:ascii="Verdana" w:eastAsia="Times New Roman" w:hAnsi="Verdana" w:cs="Times New Roman"/>
                <w:sz w:val="20"/>
                <w:szCs w:val="20"/>
                <w:lang w:val="bg-BG"/>
              </w:rPr>
              <w:t xml:space="preserve"> е посочена връзката между тях. </w:t>
            </w:r>
            <w:r>
              <w:rPr>
                <w:rFonts w:ascii="Verdana" w:eastAsia="Times New Roman" w:hAnsi="Verdana" w:cs="Times New Roman"/>
                <w:sz w:val="20"/>
                <w:szCs w:val="20"/>
                <w:lang w:val="bg-BG"/>
              </w:rPr>
              <w:t>Принципите и методите не са разнообразни, като не е прилаган принципа за активност на обучаваните и не са съобразени с целевата група и очакваните знания и умения, които следва да придобият обучаваните. Не са описани подробно учебните материали, които ще използва при прилагане на отделните методи, като няма аргументация, в случаите, при които определен метод не изисква предварително разработени учебни материали.</w:t>
            </w:r>
          </w:p>
        </w:tc>
        <w:tc>
          <w:tcPr>
            <w:tcW w:w="1462" w:type="pct"/>
            <w:tcBorders>
              <w:top w:val="single" w:sz="4" w:space="0" w:color="auto"/>
              <w:left w:val="single" w:sz="4" w:space="0" w:color="auto"/>
              <w:bottom w:val="single" w:sz="4" w:space="0" w:color="auto"/>
              <w:right w:val="single" w:sz="4" w:space="0" w:color="auto"/>
            </w:tcBorders>
            <w:shd w:val="clear" w:color="auto" w:fill="FFFF99"/>
            <w:vAlign w:val="center"/>
          </w:tcPr>
          <w:p w14:paraId="25AA2843" w14:textId="7510444A" w:rsidR="00726FF4" w:rsidRDefault="00726FF4" w:rsidP="00AF648E">
            <w:pPr>
              <w:spacing w:before="60" w:after="60" w:line="240" w:lineRule="auto"/>
              <w:jc w:val="center"/>
              <w:rPr>
                <w:rFonts w:ascii="Verdana" w:eastAsia="Times New Roman" w:hAnsi="Verdana" w:cs="Times New Roman"/>
                <w:sz w:val="20"/>
                <w:szCs w:val="20"/>
                <w:lang w:val="bg-BG"/>
              </w:rPr>
            </w:pPr>
            <w:r>
              <w:rPr>
                <w:rFonts w:ascii="Verdana" w:eastAsia="Times New Roman" w:hAnsi="Verdana" w:cs="Times New Roman"/>
                <w:sz w:val="20"/>
                <w:szCs w:val="20"/>
                <w:lang w:val="bg-BG"/>
              </w:rPr>
              <w:lastRenderedPageBreak/>
              <w:t>9-36</w:t>
            </w:r>
          </w:p>
        </w:tc>
      </w:tr>
    </w:tbl>
    <w:p w14:paraId="6C78363A" w14:textId="77A07795" w:rsidR="005F4E35" w:rsidRPr="005F4E35" w:rsidRDefault="004E1251" w:rsidP="005F4E35">
      <w:pPr>
        <w:spacing w:before="60" w:after="60" w:line="240" w:lineRule="auto"/>
        <w:ind w:firstLine="708"/>
        <w:jc w:val="both"/>
        <w:rPr>
          <w:rFonts w:ascii="Verdana" w:eastAsia="Times New Roman" w:hAnsi="Verdana" w:cs="Times New Roman"/>
          <w:sz w:val="20"/>
          <w:szCs w:val="20"/>
          <w:lang w:val="bg-BG"/>
        </w:rPr>
      </w:pPr>
      <w:r>
        <w:rPr>
          <w:rFonts w:ascii="Verdana" w:eastAsia="Times New Roman" w:hAnsi="Verdana" w:cs="Times New Roman"/>
          <w:sz w:val="20"/>
          <w:szCs w:val="20"/>
          <w:lang w:val="bg-BG"/>
        </w:rPr>
        <w:lastRenderedPageBreak/>
        <w:t xml:space="preserve">По </w:t>
      </w:r>
      <w:proofErr w:type="spellStart"/>
      <w:r w:rsidR="005F4E35" w:rsidRPr="005F4E35">
        <w:rPr>
          <w:rFonts w:ascii="Verdana" w:eastAsia="Times New Roman" w:hAnsi="Verdana" w:cs="Times New Roman"/>
          <w:sz w:val="20"/>
          <w:szCs w:val="20"/>
          <w:lang w:val="bg-BG"/>
        </w:rPr>
        <w:t>Подпоказател</w:t>
      </w:r>
      <w:proofErr w:type="spellEnd"/>
      <w:r w:rsidR="005F4E35" w:rsidRPr="005F4E35">
        <w:rPr>
          <w:rFonts w:ascii="Verdana" w:eastAsia="Times New Roman" w:hAnsi="Verdana" w:cs="Times New Roman"/>
          <w:sz w:val="20"/>
          <w:szCs w:val="20"/>
          <w:lang w:val="bg-BG"/>
        </w:rPr>
        <w:t xml:space="preserve"> </w:t>
      </w:r>
      <w:r w:rsidR="005F4E35" w:rsidRPr="005F4E35">
        <w:rPr>
          <w:rFonts w:ascii="Verdana" w:eastAsia="Times New Roman" w:hAnsi="Verdana" w:cs="Times New Roman"/>
          <w:b/>
          <w:sz w:val="20"/>
          <w:szCs w:val="20"/>
          <w:lang w:val="bg-BG"/>
        </w:rPr>
        <w:t>П.1.1 – Категория Хотели</w:t>
      </w:r>
      <w:r w:rsidR="005F4E35" w:rsidRPr="005F4E35">
        <w:rPr>
          <w:rFonts w:ascii="Verdana" w:eastAsia="Times New Roman" w:hAnsi="Verdana" w:cs="Times New Roman"/>
          <w:sz w:val="20"/>
          <w:szCs w:val="20"/>
          <w:lang w:val="bg-BG"/>
        </w:rPr>
        <w:t xml:space="preserve"> – всеки участник следва да предложи в своето техническо предложение </w:t>
      </w:r>
      <w:r w:rsidR="005F4E35" w:rsidRPr="005F4E35">
        <w:rPr>
          <w:rFonts w:ascii="Verdana" w:eastAsia="Times New Roman" w:hAnsi="Verdana" w:cs="Times New Roman"/>
          <w:b/>
          <w:sz w:val="20"/>
          <w:szCs w:val="20"/>
          <w:lang w:val="bg-BG"/>
        </w:rPr>
        <w:t>3, 4 или 5-звездни</w:t>
      </w:r>
      <w:r w:rsidR="005F4E35" w:rsidRPr="005F4E35">
        <w:rPr>
          <w:rFonts w:ascii="Verdana" w:eastAsia="Times New Roman" w:hAnsi="Verdana" w:cs="Times New Roman"/>
          <w:sz w:val="20"/>
          <w:szCs w:val="20"/>
          <w:lang w:val="bg-BG"/>
        </w:rPr>
        <w:t xml:space="preserve"> хотели, които ще осигури за провеждане на обученията, предмет на настоящата обществена поръчка. Категорията на хотелите в </w:t>
      </w:r>
      <w:r w:rsidR="004A2309">
        <w:rPr>
          <w:rFonts w:ascii="Verdana" w:eastAsia="Times New Roman" w:hAnsi="Verdana" w:cs="Times New Roman"/>
          <w:sz w:val="20"/>
          <w:szCs w:val="20"/>
          <w:lang w:val="bg-BG"/>
        </w:rPr>
        <w:t>петте</w:t>
      </w:r>
      <w:r w:rsidR="005F4E35" w:rsidRPr="005F4E35">
        <w:rPr>
          <w:rFonts w:ascii="Verdana" w:eastAsia="Times New Roman" w:hAnsi="Verdana" w:cs="Times New Roman"/>
          <w:sz w:val="20"/>
          <w:szCs w:val="20"/>
          <w:lang w:val="bg-BG"/>
        </w:rPr>
        <w:t xml:space="preserve"> града може да бъде различна, като това ще бъде отразено при точковото оценяване по този показател. Най-много точки получават предложените 5* хотели, а най-малко предложените 3* хотели. Категория 3* е минималната категория на хотел, която участниците могат да предлагат.</w:t>
      </w:r>
      <w:r w:rsidR="005F4E35" w:rsidRPr="005F4E35">
        <w:rPr>
          <w:rFonts w:ascii="Verdana" w:eastAsia="Times New Roman" w:hAnsi="Verdana" w:cs="Times New Roman"/>
          <w:sz w:val="20"/>
          <w:szCs w:val="20"/>
        </w:rPr>
        <w:t xml:space="preserve"> </w:t>
      </w:r>
      <w:r w:rsidR="005F4E35" w:rsidRPr="005F4E35">
        <w:rPr>
          <w:rFonts w:ascii="Verdana" w:eastAsia="Times New Roman" w:hAnsi="Verdana" w:cs="Times New Roman"/>
          <w:sz w:val="20"/>
          <w:szCs w:val="20"/>
          <w:lang w:val="bg-BG"/>
        </w:rPr>
        <w:t xml:space="preserve">Броя на получените точки за всеки град се сумира и това дава общата точкова оценка по </w:t>
      </w:r>
      <w:proofErr w:type="spellStart"/>
      <w:r w:rsidR="005F4E35" w:rsidRPr="005F4E35">
        <w:rPr>
          <w:rFonts w:ascii="Verdana" w:eastAsia="Times New Roman" w:hAnsi="Verdana" w:cs="Times New Roman"/>
          <w:sz w:val="20"/>
          <w:szCs w:val="20"/>
          <w:lang w:val="bg-BG"/>
        </w:rPr>
        <w:t>подпоказател</w:t>
      </w:r>
      <w:proofErr w:type="spellEnd"/>
      <w:r w:rsidR="005F4E35" w:rsidRPr="005F4E35">
        <w:rPr>
          <w:rFonts w:ascii="Verdana" w:eastAsia="Times New Roman" w:hAnsi="Verdana" w:cs="Times New Roman"/>
          <w:sz w:val="20"/>
          <w:szCs w:val="20"/>
          <w:lang w:val="bg-BG"/>
        </w:rPr>
        <w:t xml:space="preserve"> </w:t>
      </w:r>
      <w:r w:rsidR="005F4E35" w:rsidRPr="005F4E35">
        <w:rPr>
          <w:rFonts w:ascii="Verdana" w:eastAsia="Times New Roman" w:hAnsi="Verdana" w:cs="Times New Roman"/>
          <w:b/>
          <w:sz w:val="20"/>
          <w:szCs w:val="20"/>
          <w:lang w:val="bg-BG"/>
        </w:rPr>
        <w:t xml:space="preserve">П.1.1. </w:t>
      </w:r>
      <w:r w:rsidR="005F4E35" w:rsidRPr="005F4E35">
        <w:rPr>
          <w:rFonts w:ascii="Verdana" w:eastAsia="Times New Roman" w:hAnsi="Verdana" w:cs="Times New Roman"/>
          <w:sz w:val="20"/>
          <w:szCs w:val="20"/>
          <w:lang w:val="bg-BG"/>
        </w:rPr>
        <w:t xml:space="preserve">За всеки от 5-звездните хотели, които участник предложи ще получи </w:t>
      </w:r>
      <w:r w:rsidR="004A2309">
        <w:rPr>
          <w:rFonts w:ascii="Verdana" w:eastAsia="Times New Roman" w:hAnsi="Verdana" w:cs="Times New Roman"/>
          <w:sz w:val="20"/>
          <w:szCs w:val="20"/>
          <w:lang w:val="bg-BG"/>
        </w:rPr>
        <w:t>8</w:t>
      </w:r>
      <w:r w:rsidR="005F4E35" w:rsidRPr="005F4E35">
        <w:rPr>
          <w:rFonts w:ascii="Verdana" w:eastAsia="Times New Roman" w:hAnsi="Verdana" w:cs="Times New Roman"/>
          <w:sz w:val="20"/>
          <w:szCs w:val="20"/>
          <w:lang w:val="bg-BG"/>
        </w:rPr>
        <w:t xml:space="preserve"> точки, за 4-звездните - </w:t>
      </w:r>
      <w:r w:rsidR="004A2309">
        <w:rPr>
          <w:rFonts w:ascii="Verdana" w:eastAsia="Times New Roman" w:hAnsi="Verdana" w:cs="Times New Roman"/>
          <w:sz w:val="20"/>
          <w:szCs w:val="20"/>
          <w:lang w:val="bg-BG"/>
        </w:rPr>
        <w:t>6</w:t>
      </w:r>
      <w:r w:rsidR="005F4E35" w:rsidRPr="005F4E35">
        <w:rPr>
          <w:rFonts w:ascii="Verdana" w:eastAsia="Times New Roman" w:hAnsi="Verdana" w:cs="Times New Roman"/>
          <w:sz w:val="20"/>
          <w:szCs w:val="20"/>
          <w:lang w:val="bg-BG"/>
        </w:rPr>
        <w:t xml:space="preserve"> точки, а за 3-звездните – </w:t>
      </w:r>
      <w:r w:rsidR="004A2309">
        <w:rPr>
          <w:rFonts w:ascii="Verdana" w:eastAsia="Times New Roman" w:hAnsi="Verdana" w:cs="Times New Roman"/>
          <w:sz w:val="20"/>
          <w:szCs w:val="20"/>
          <w:lang w:val="bg-BG"/>
        </w:rPr>
        <w:t>4</w:t>
      </w:r>
      <w:r w:rsidR="005F4E35" w:rsidRPr="005F4E35">
        <w:rPr>
          <w:rFonts w:ascii="Verdana" w:eastAsia="Times New Roman" w:hAnsi="Verdana" w:cs="Times New Roman"/>
          <w:sz w:val="20"/>
          <w:szCs w:val="20"/>
          <w:lang w:val="bg-BG"/>
        </w:rPr>
        <w:t xml:space="preserve"> точки.</w:t>
      </w:r>
    </w:p>
    <w:p w14:paraId="6D39EABE" w14:textId="4A83D7A0" w:rsidR="00AF648E" w:rsidRDefault="005F4E35" w:rsidP="005F4E35">
      <w:pPr>
        <w:spacing w:before="60" w:after="60" w:line="240" w:lineRule="auto"/>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ab/>
        <w:t xml:space="preserve">По </w:t>
      </w:r>
      <w:proofErr w:type="spellStart"/>
      <w:r w:rsidRPr="005F4E35">
        <w:rPr>
          <w:rFonts w:ascii="Verdana" w:eastAsia="Times New Roman" w:hAnsi="Verdana" w:cs="Times New Roman"/>
          <w:sz w:val="20"/>
          <w:szCs w:val="20"/>
          <w:lang w:val="bg-BG"/>
        </w:rPr>
        <w:t>Подпоказател</w:t>
      </w:r>
      <w:proofErr w:type="spellEnd"/>
      <w:r w:rsidRPr="005F4E35">
        <w:rPr>
          <w:rFonts w:ascii="Verdana" w:eastAsia="Times New Roman" w:hAnsi="Verdana" w:cs="Times New Roman"/>
          <w:sz w:val="20"/>
          <w:szCs w:val="20"/>
          <w:lang w:val="bg-BG"/>
        </w:rPr>
        <w:t xml:space="preserve">  </w:t>
      </w:r>
      <w:r w:rsidRPr="005F4E35">
        <w:rPr>
          <w:rFonts w:ascii="Verdana" w:eastAsia="Times New Roman" w:hAnsi="Verdana" w:cs="Times New Roman"/>
          <w:b/>
          <w:sz w:val="20"/>
          <w:szCs w:val="20"/>
          <w:lang w:val="bg-BG"/>
        </w:rPr>
        <w:t xml:space="preserve">П.1.2 – </w:t>
      </w:r>
      <w:r w:rsidR="00AF648E">
        <w:rPr>
          <w:rFonts w:ascii="Verdana" w:eastAsia="Times New Roman" w:hAnsi="Verdana" w:cs="Times New Roman"/>
          <w:b/>
          <w:sz w:val="20"/>
          <w:szCs w:val="20"/>
          <w:lang w:val="bg-BG"/>
        </w:rPr>
        <w:t>Разбиране на потребностите от обучения на отделните целеви групи– служители на ИА ГИТ</w:t>
      </w:r>
      <w:r w:rsidRPr="005F4E35">
        <w:rPr>
          <w:rFonts w:ascii="Verdana" w:eastAsia="Times New Roman" w:hAnsi="Verdana" w:cs="Times New Roman"/>
          <w:sz w:val="20"/>
          <w:szCs w:val="20"/>
          <w:lang w:val="bg-BG"/>
        </w:rPr>
        <w:t xml:space="preserve"> </w:t>
      </w:r>
      <w:r w:rsidR="00AF648E">
        <w:rPr>
          <w:rFonts w:ascii="Verdana" w:eastAsia="Times New Roman" w:hAnsi="Verdana" w:cs="Times New Roman"/>
          <w:sz w:val="20"/>
          <w:szCs w:val="20"/>
          <w:lang w:val="bg-BG"/>
        </w:rPr>
        <w:t>–</w:t>
      </w:r>
      <w:r w:rsidRPr="005F4E35">
        <w:rPr>
          <w:rFonts w:ascii="Verdana" w:eastAsia="Times New Roman" w:hAnsi="Verdana" w:cs="Times New Roman"/>
          <w:sz w:val="20"/>
          <w:szCs w:val="20"/>
          <w:lang w:val="bg-BG"/>
        </w:rPr>
        <w:t xml:space="preserve"> </w:t>
      </w:r>
      <w:r w:rsidR="00AF648E">
        <w:rPr>
          <w:rFonts w:ascii="Verdana" w:eastAsia="Times New Roman" w:hAnsi="Verdana" w:cs="Times New Roman"/>
          <w:sz w:val="20"/>
          <w:szCs w:val="20"/>
          <w:lang w:val="bg-BG"/>
        </w:rPr>
        <w:t>в своето техническо предлож</w:t>
      </w:r>
      <w:r w:rsidR="00726FF4">
        <w:rPr>
          <w:rFonts w:ascii="Verdana" w:eastAsia="Times New Roman" w:hAnsi="Verdana" w:cs="Times New Roman"/>
          <w:sz w:val="20"/>
          <w:szCs w:val="20"/>
          <w:lang w:val="bg-BG"/>
        </w:rPr>
        <w:t>е</w:t>
      </w:r>
      <w:r w:rsidR="00AF648E">
        <w:rPr>
          <w:rFonts w:ascii="Verdana" w:eastAsia="Times New Roman" w:hAnsi="Verdana" w:cs="Times New Roman"/>
          <w:sz w:val="20"/>
          <w:szCs w:val="20"/>
          <w:lang w:val="bg-BG"/>
        </w:rPr>
        <w:t xml:space="preserve">ние, </w:t>
      </w:r>
      <w:r w:rsidRPr="005F4E35">
        <w:rPr>
          <w:rFonts w:ascii="Verdana" w:eastAsia="Times New Roman" w:hAnsi="Verdana" w:cs="Times New Roman"/>
          <w:sz w:val="20"/>
          <w:szCs w:val="20"/>
          <w:lang w:val="bg-BG"/>
        </w:rPr>
        <w:t>всеки участник</w:t>
      </w:r>
      <w:r w:rsidR="00AF648E">
        <w:rPr>
          <w:rFonts w:ascii="Verdana" w:eastAsia="Times New Roman" w:hAnsi="Verdana" w:cs="Times New Roman"/>
          <w:sz w:val="20"/>
          <w:szCs w:val="20"/>
          <w:lang w:val="bg-BG"/>
        </w:rPr>
        <w:t xml:space="preserve"> </w:t>
      </w:r>
      <w:r w:rsidRPr="005F4E35">
        <w:rPr>
          <w:rFonts w:ascii="Verdana" w:eastAsia="Times New Roman" w:hAnsi="Verdana" w:cs="Times New Roman"/>
          <w:sz w:val="20"/>
          <w:szCs w:val="20"/>
          <w:lang w:val="bg-BG"/>
        </w:rPr>
        <w:t xml:space="preserve">трябва да </w:t>
      </w:r>
      <w:r w:rsidR="00AF648E">
        <w:rPr>
          <w:rFonts w:ascii="Verdana" w:eastAsia="Times New Roman" w:hAnsi="Verdana" w:cs="Times New Roman"/>
          <w:sz w:val="20"/>
          <w:szCs w:val="20"/>
          <w:lang w:val="bg-BG"/>
        </w:rPr>
        <w:t xml:space="preserve">представи анализ на отделните целеви групи в контекста на дейността на ИА ГИТ, като в този анализ посочи очакваните нови знания и умения, които обучаваните ще придобият в края на обучението. Анализът следва да отчита факта, че всички участници в обучението са с висше образование с различни специалности, с  изключение на групата юрисконсулти, в която всички са с юридическо образование. </w:t>
      </w:r>
    </w:p>
    <w:p w14:paraId="3613422C" w14:textId="21C8C4BE" w:rsidR="009A22DF" w:rsidRPr="009A22DF" w:rsidRDefault="009A22DF" w:rsidP="005F4E35">
      <w:pPr>
        <w:spacing w:before="60" w:after="60" w:line="240" w:lineRule="auto"/>
        <w:jc w:val="both"/>
        <w:rPr>
          <w:rFonts w:ascii="Verdana" w:eastAsia="Times New Roman" w:hAnsi="Verdana" w:cs="Times New Roman"/>
          <w:sz w:val="20"/>
          <w:szCs w:val="20"/>
          <w:lang w:val="bg-BG"/>
        </w:rPr>
      </w:pPr>
      <w:r>
        <w:rPr>
          <w:rFonts w:ascii="Verdana" w:eastAsia="Times New Roman" w:hAnsi="Verdana" w:cs="Times New Roman"/>
          <w:sz w:val="20"/>
          <w:szCs w:val="20"/>
          <w:lang w:val="bg-BG"/>
        </w:rPr>
        <w:tab/>
        <w:t xml:space="preserve">По </w:t>
      </w:r>
      <w:proofErr w:type="spellStart"/>
      <w:r>
        <w:rPr>
          <w:rFonts w:ascii="Verdana" w:eastAsia="Times New Roman" w:hAnsi="Verdana" w:cs="Times New Roman"/>
          <w:sz w:val="20"/>
          <w:szCs w:val="20"/>
          <w:lang w:val="bg-BG"/>
        </w:rPr>
        <w:t>Подпоказател</w:t>
      </w:r>
      <w:proofErr w:type="spellEnd"/>
      <w:r>
        <w:rPr>
          <w:rFonts w:ascii="Verdana" w:eastAsia="Times New Roman" w:hAnsi="Verdana" w:cs="Times New Roman"/>
          <w:sz w:val="20"/>
          <w:szCs w:val="20"/>
          <w:lang w:val="bg-BG"/>
        </w:rPr>
        <w:t xml:space="preserve"> П.1.3. - </w:t>
      </w:r>
      <w:r>
        <w:rPr>
          <w:rFonts w:ascii="Verdana" w:eastAsia="Times New Roman" w:hAnsi="Verdana" w:cs="Times New Roman"/>
          <w:b/>
          <w:sz w:val="20"/>
          <w:szCs w:val="20"/>
          <w:lang w:val="bg-BG"/>
        </w:rPr>
        <w:t xml:space="preserve">Дидактически анализ и прилагани дидактически принципи. </w:t>
      </w:r>
      <w:r>
        <w:rPr>
          <w:rFonts w:ascii="Verdana" w:eastAsia="Times New Roman" w:hAnsi="Verdana" w:cs="Times New Roman"/>
          <w:sz w:val="20"/>
          <w:szCs w:val="20"/>
          <w:lang w:val="bg-BG"/>
        </w:rPr>
        <w:t>Въз основа на анализа на основните целеви групи, участника следва да посочи и аргументира в своето техническ</w:t>
      </w:r>
      <w:r w:rsidR="00990FA6">
        <w:rPr>
          <w:rFonts w:ascii="Verdana" w:eastAsia="Times New Roman" w:hAnsi="Verdana" w:cs="Times New Roman"/>
          <w:sz w:val="20"/>
          <w:szCs w:val="20"/>
          <w:lang w:val="bg-BG"/>
        </w:rPr>
        <w:t>о</w:t>
      </w:r>
      <w:r>
        <w:rPr>
          <w:rFonts w:ascii="Verdana" w:eastAsia="Times New Roman" w:hAnsi="Verdana" w:cs="Times New Roman"/>
          <w:sz w:val="20"/>
          <w:szCs w:val="20"/>
          <w:lang w:val="bg-BG"/>
        </w:rPr>
        <w:t xml:space="preserve"> предложение, основните принципи на </w:t>
      </w:r>
      <w:r>
        <w:rPr>
          <w:rFonts w:ascii="Verdana" w:eastAsia="Times New Roman" w:hAnsi="Verdana" w:cs="Times New Roman"/>
          <w:sz w:val="20"/>
          <w:szCs w:val="20"/>
          <w:lang w:val="bg-BG"/>
        </w:rPr>
        <w:lastRenderedPageBreak/>
        <w:t>дидактиката, които ще използва, предвидените дидактическите методи и учебните материали, които ще разработи и използва при прилагане на тези методи.</w:t>
      </w:r>
    </w:p>
    <w:p w14:paraId="382F819F" w14:textId="77777777" w:rsidR="00AF648E" w:rsidRDefault="00AF648E" w:rsidP="005F4E35">
      <w:pPr>
        <w:spacing w:before="60" w:after="60" w:line="240" w:lineRule="auto"/>
        <w:jc w:val="both"/>
        <w:rPr>
          <w:rFonts w:ascii="Verdana" w:eastAsia="Times New Roman" w:hAnsi="Verdana" w:cs="Times New Roman"/>
          <w:sz w:val="20"/>
          <w:szCs w:val="20"/>
          <w:lang w:val="bg-BG"/>
        </w:rPr>
      </w:pPr>
    </w:p>
    <w:p w14:paraId="20A42A91" w14:textId="77777777" w:rsidR="005F4E35" w:rsidRPr="005F4E35" w:rsidRDefault="005F4E35" w:rsidP="005F4E35">
      <w:pPr>
        <w:spacing w:before="60" w:after="60" w:line="240" w:lineRule="auto"/>
        <w:jc w:val="both"/>
        <w:rPr>
          <w:rFonts w:ascii="Verdana" w:eastAsia="Times New Roman" w:hAnsi="Verdana" w:cs="Times New Roman"/>
          <w:b/>
          <w:sz w:val="20"/>
          <w:szCs w:val="20"/>
        </w:rPr>
      </w:pPr>
      <w:r w:rsidRPr="005F4E35">
        <w:rPr>
          <w:rFonts w:ascii="Verdana" w:eastAsia="Times New Roman" w:hAnsi="Verdana" w:cs="Times New Roman"/>
          <w:sz w:val="20"/>
          <w:szCs w:val="20"/>
        </w:rPr>
        <w:tab/>
      </w:r>
    </w:p>
    <w:p w14:paraId="5501C1AF" w14:textId="2E1A91ED" w:rsidR="005F4E35" w:rsidRPr="005F4E35" w:rsidRDefault="005F4E35" w:rsidP="005F4E35">
      <w:pPr>
        <w:spacing w:before="60" w:after="60" w:line="240" w:lineRule="auto"/>
        <w:ind w:firstLine="708"/>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 xml:space="preserve">Така определените точки по </w:t>
      </w:r>
      <w:proofErr w:type="spellStart"/>
      <w:r w:rsidRPr="005F4E35">
        <w:rPr>
          <w:rFonts w:ascii="Verdana" w:eastAsia="Times New Roman" w:hAnsi="Verdana" w:cs="Times New Roman"/>
          <w:sz w:val="20"/>
          <w:szCs w:val="20"/>
          <w:lang w:val="bg-BG"/>
        </w:rPr>
        <w:t>подпоказателите</w:t>
      </w:r>
      <w:proofErr w:type="spellEnd"/>
      <w:r w:rsidRPr="005F4E35">
        <w:rPr>
          <w:rFonts w:ascii="Verdana" w:eastAsia="Times New Roman" w:hAnsi="Verdana" w:cs="Times New Roman"/>
          <w:sz w:val="20"/>
          <w:szCs w:val="20"/>
          <w:lang w:val="bg-BG"/>
        </w:rPr>
        <w:t xml:space="preserve"> на техническата оценка на предложението (П1.1,  П1.2</w:t>
      </w:r>
      <w:r w:rsidR="00726FF4">
        <w:rPr>
          <w:rFonts w:ascii="Verdana" w:eastAsia="Times New Roman" w:hAnsi="Verdana" w:cs="Times New Roman"/>
          <w:sz w:val="20"/>
          <w:szCs w:val="20"/>
          <w:lang w:val="bg-BG"/>
        </w:rPr>
        <w:t>, и П1.3</w:t>
      </w:r>
      <w:r w:rsidRPr="005F4E35">
        <w:rPr>
          <w:rFonts w:ascii="Verdana" w:eastAsia="Times New Roman" w:hAnsi="Verdana" w:cs="Times New Roman"/>
          <w:sz w:val="20"/>
          <w:szCs w:val="20"/>
          <w:lang w:val="bg-BG"/>
        </w:rPr>
        <w:t>)</w:t>
      </w:r>
      <w:r w:rsidR="00726FF4">
        <w:rPr>
          <w:rFonts w:ascii="Verdana" w:eastAsia="Times New Roman" w:hAnsi="Verdana" w:cs="Times New Roman"/>
          <w:sz w:val="20"/>
          <w:szCs w:val="20"/>
          <w:lang w:val="bg-BG"/>
        </w:rPr>
        <w:t xml:space="preserve"> се сумират по следния начин</w:t>
      </w:r>
      <w:r w:rsidRPr="005F4E35">
        <w:rPr>
          <w:rFonts w:ascii="Verdana" w:eastAsia="Times New Roman" w:hAnsi="Verdana" w:cs="Times New Roman"/>
          <w:sz w:val="20"/>
          <w:szCs w:val="20"/>
          <w:lang w:val="bg-BG"/>
        </w:rPr>
        <w:t>:</w:t>
      </w:r>
    </w:p>
    <w:p w14:paraId="3F703B94" w14:textId="7B52F2AD" w:rsidR="005F4E35" w:rsidRPr="005F4E35" w:rsidRDefault="000567AE" w:rsidP="005F4E35">
      <w:pPr>
        <w:spacing w:before="60" w:after="60" w:line="240" w:lineRule="auto"/>
        <w:ind w:firstLine="708"/>
        <w:jc w:val="both"/>
        <w:rPr>
          <w:rFonts w:ascii="Verdana" w:eastAsia="Times New Roman" w:hAnsi="Verdana" w:cs="Times New Roman"/>
          <w:b/>
          <w:sz w:val="20"/>
          <w:szCs w:val="20"/>
          <w:lang w:val="bg-BG"/>
        </w:rPr>
      </w:pPr>
      <w:r>
        <w:rPr>
          <w:rFonts w:ascii="Verdana" w:eastAsia="Times New Roman" w:hAnsi="Verdana" w:cs="Times New Roman"/>
          <w:b/>
          <w:sz w:val="20"/>
          <w:szCs w:val="20"/>
          <w:lang w:val="bg-BG"/>
        </w:rPr>
        <w:t>П1</w:t>
      </w:r>
      <w:r w:rsidR="00726FF4">
        <w:rPr>
          <w:rFonts w:ascii="Verdana" w:eastAsia="Times New Roman" w:hAnsi="Verdana" w:cs="Times New Roman"/>
          <w:b/>
          <w:sz w:val="20"/>
          <w:szCs w:val="20"/>
        </w:rPr>
        <w:t>n</w:t>
      </w:r>
      <w:r w:rsidR="005F4E35" w:rsidRPr="005F4E35">
        <w:rPr>
          <w:rFonts w:ascii="Verdana" w:eastAsia="Times New Roman" w:hAnsi="Verdana" w:cs="Times New Roman"/>
          <w:b/>
          <w:sz w:val="20"/>
          <w:szCs w:val="20"/>
          <w:lang w:val="bg-BG"/>
        </w:rPr>
        <w:t>= П1.1</w:t>
      </w:r>
      <w:r w:rsidR="00726FF4">
        <w:rPr>
          <w:rFonts w:ascii="Verdana" w:eastAsia="Times New Roman" w:hAnsi="Verdana" w:cs="Times New Roman"/>
          <w:b/>
          <w:sz w:val="20"/>
          <w:szCs w:val="20"/>
        </w:rPr>
        <w:t>n</w:t>
      </w:r>
      <w:r w:rsidR="005F4E35" w:rsidRPr="005F4E35">
        <w:rPr>
          <w:rFonts w:ascii="Verdana" w:eastAsia="Times New Roman" w:hAnsi="Verdana" w:cs="Times New Roman"/>
          <w:b/>
          <w:sz w:val="20"/>
          <w:szCs w:val="20"/>
          <w:lang w:val="bg-BG"/>
        </w:rPr>
        <w:t xml:space="preserve"> + П1.2</w:t>
      </w:r>
      <w:r w:rsidR="00726FF4">
        <w:rPr>
          <w:rFonts w:ascii="Verdana" w:eastAsia="Times New Roman" w:hAnsi="Verdana" w:cs="Times New Roman"/>
          <w:b/>
          <w:sz w:val="20"/>
          <w:szCs w:val="20"/>
        </w:rPr>
        <w:t>n</w:t>
      </w:r>
      <w:r w:rsidR="005F4E35" w:rsidRPr="005F4E35">
        <w:rPr>
          <w:rFonts w:ascii="Verdana" w:eastAsia="Times New Roman" w:hAnsi="Verdana" w:cs="Times New Roman"/>
          <w:b/>
          <w:sz w:val="20"/>
          <w:szCs w:val="20"/>
          <w:lang w:val="bg-BG"/>
        </w:rPr>
        <w:t xml:space="preserve"> </w:t>
      </w:r>
      <w:r w:rsidR="00726FF4">
        <w:rPr>
          <w:rFonts w:ascii="Verdana" w:eastAsia="Times New Roman" w:hAnsi="Verdana" w:cs="Times New Roman"/>
          <w:b/>
          <w:sz w:val="20"/>
          <w:szCs w:val="20"/>
          <w:lang w:val="bg-BG"/>
        </w:rPr>
        <w:t>+ П.1.3</w:t>
      </w:r>
      <w:r w:rsidR="00726FF4">
        <w:rPr>
          <w:rFonts w:ascii="Verdana" w:eastAsia="Times New Roman" w:hAnsi="Verdana" w:cs="Times New Roman"/>
          <w:b/>
          <w:sz w:val="20"/>
          <w:szCs w:val="20"/>
        </w:rPr>
        <w:t>n</w:t>
      </w:r>
      <w:r w:rsidR="005F4E35" w:rsidRPr="005F4E35">
        <w:rPr>
          <w:rFonts w:ascii="Verdana" w:eastAsia="Times New Roman" w:hAnsi="Verdana" w:cs="Times New Roman"/>
          <w:b/>
          <w:sz w:val="20"/>
          <w:szCs w:val="20"/>
          <w:lang w:val="bg-BG"/>
        </w:rPr>
        <w:t xml:space="preserve"> </w:t>
      </w:r>
    </w:p>
    <w:p w14:paraId="4FAA70E9" w14:textId="77777777" w:rsidR="005F4E35" w:rsidRPr="005F4E35" w:rsidRDefault="005F4E35" w:rsidP="005F4E35">
      <w:pPr>
        <w:spacing w:before="60" w:after="60" w:line="240" w:lineRule="auto"/>
        <w:ind w:firstLine="708"/>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където:</w:t>
      </w:r>
    </w:p>
    <w:p w14:paraId="58BA73CF" w14:textId="12ADA5B7" w:rsidR="005F4E35" w:rsidRPr="005F4E35" w:rsidRDefault="00726FF4" w:rsidP="005F4E35">
      <w:pPr>
        <w:spacing w:before="60" w:after="60" w:line="240" w:lineRule="auto"/>
        <w:ind w:firstLine="708"/>
        <w:jc w:val="both"/>
        <w:rPr>
          <w:rFonts w:ascii="Verdana" w:eastAsia="Times New Roman" w:hAnsi="Verdana" w:cs="Times New Roman"/>
          <w:sz w:val="20"/>
          <w:szCs w:val="20"/>
          <w:lang w:val="bg-BG"/>
        </w:rPr>
      </w:pPr>
      <w:r w:rsidRPr="00726FF4">
        <w:rPr>
          <w:rFonts w:ascii="Verdana" w:eastAsia="Times New Roman" w:hAnsi="Verdana" w:cs="Times New Roman"/>
          <w:sz w:val="20"/>
          <w:szCs w:val="20"/>
          <w:lang w:val="bg-BG"/>
        </w:rPr>
        <w:t>П1.1</w:t>
      </w:r>
      <w:r w:rsidRPr="00726FF4">
        <w:rPr>
          <w:rFonts w:ascii="Verdana" w:eastAsia="Times New Roman" w:hAnsi="Verdana" w:cs="Times New Roman"/>
          <w:sz w:val="20"/>
          <w:szCs w:val="20"/>
        </w:rPr>
        <w:t>n</w:t>
      </w:r>
      <w:r>
        <w:rPr>
          <w:rFonts w:ascii="Verdana" w:eastAsia="Times New Roman" w:hAnsi="Verdana" w:cs="Times New Roman"/>
          <w:sz w:val="20"/>
          <w:szCs w:val="20"/>
        </w:rPr>
        <w:t>,</w:t>
      </w:r>
      <w:r w:rsidRPr="00726FF4">
        <w:rPr>
          <w:rFonts w:ascii="Verdana" w:eastAsia="Times New Roman" w:hAnsi="Verdana" w:cs="Times New Roman"/>
          <w:sz w:val="20"/>
          <w:szCs w:val="20"/>
          <w:lang w:val="bg-BG"/>
        </w:rPr>
        <w:t xml:space="preserve"> П1.2</w:t>
      </w:r>
      <w:r w:rsidRPr="00726FF4">
        <w:rPr>
          <w:rFonts w:ascii="Verdana" w:eastAsia="Times New Roman" w:hAnsi="Verdana" w:cs="Times New Roman"/>
          <w:sz w:val="20"/>
          <w:szCs w:val="20"/>
        </w:rPr>
        <w:t>n</w:t>
      </w:r>
      <w:r>
        <w:rPr>
          <w:rFonts w:ascii="Verdana" w:eastAsia="Times New Roman" w:hAnsi="Verdana" w:cs="Times New Roman"/>
          <w:sz w:val="20"/>
          <w:szCs w:val="20"/>
        </w:rPr>
        <w:t>,</w:t>
      </w:r>
      <w:r w:rsidRPr="00726FF4">
        <w:rPr>
          <w:rFonts w:ascii="Verdana" w:eastAsia="Times New Roman" w:hAnsi="Verdana" w:cs="Times New Roman"/>
          <w:sz w:val="20"/>
          <w:szCs w:val="20"/>
          <w:lang w:val="bg-BG"/>
        </w:rPr>
        <w:t xml:space="preserve"> П.1.3</w:t>
      </w:r>
      <w:r w:rsidRPr="00726FF4">
        <w:rPr>
          <w:rFonts w:ascii="Verdana" w:eastAsia="Times New Roman" w:hAnsi="Verdana" w:cs="Times New Roman"/>
          <w:sz w:val="20"/>
          <w:szCs w:val="20"/>
        </w:rPr>
        <w:t>n</w:t>
      </w:r>
      <w:r>
        <w:rPr>
          <w:rFonts w:ascii="Verdana" w:eastAsia="Times New Roman" w:hAnsi="Verdana" w:cs="Times New Roman"/>
          <w:sz w:val="20"/>
          <w:szCs w:val="20"/>
        </w:rPr>
        <w:t xml:space="preserve"> </w:t>
      </w:r>
      <w:r>
        <w:rPr>
          <w:rFonts w:ascii="Verdana" w:eastAsia="Times New Roman" w:hAnsi="Verdana" w:cs="Times New Roman"/>
          <w:sz w:val="20"/>
          <w:szCs w:val="20"/>
          <w:lang w:val="bg-BG"/>
        </w:rPr>
        <w:t xml:space="preserve">са съответните точки на участник </w:t>
      </w:r>
      <w:r>
        <w:rPr>
          <w:rFonts w:ascii="Verdana" w:eastAsia="Times New Roman" w:hAnsi="Verdana" w:cs="Times New Roman"/>
          <w:sz w:val="20"/>
          <w:szCs w:val="20"/>
        </w:rPr>
        <w:t>N</w:t>
      </w:r>
      <w:r w:rsidR="000567AE">
        <w:rPr>
          <w:rFonts w:ascii="Verdana" w:eastAsia="Times New Roman" w:hAnsi="Verdana" w:cs="Times New Roman"/>
          <w:sz w:val="20"/>
          <w:szCs w:val="20"/>
        </w:rPr>
        <w:t xml:space="preserve">, </w:t>
      </w:r>
      <w:r w:rsidR="000567AE">
        <w:rPr>
          <w:rFonts w:ascii="Verdana" w:eastAsia="Times New Roman" w:hAnsi="Verdana" w:cs="Times New Roman"/>
          <w:sz w:val="20"/>
          <w:szCs w:val="20"/>
          <w:lang w:val="bg-BG"/>
        </w:rPr>
        <w:t>(</w:t>
      </w:r>
      <w:r w:rsidR="000567AE" w:rsidRPr="00726FF4">
        <w:rPr>
          <w:rFonts w:ascii="Verdana" w:eastAsia="Times New Roman" w:hAnsi="Verdana" w:cs="Times New Roman"/>
          <w:sz w:val="20"/>
          <w:szCs w:val="20"/>
          <w:lang w:val="bg-BG"/>
        </w:rPr>
        <w:t>П1.2</w:t>
      </w:r>
      <w:r w:rsidR="000567AE" w:rsidRPr="00726FF4">
        <w:rPr>
          <w:rFonts w:ascii="Verdana" w:eastAsia="Times New Roman" w:hAnsi="Verdana" w:cs="Times New Roman"/>
          <w:sz w:val="20"/>
          <w:szCs w:val="20"/>
        </w:rPr>
        <w:t>n</w:t>
      </w:r>
      <w:r w:rsidR="000567AE">
        <w:rPr>
          <w:rFonts w:ascii="Verdana" w:eastAsia="Times New Roman" w:hAnsi="Verdana" w:cs="Times New Roman"/>
          <w:sz w:val="20"/>
          <w:szCs w:val="20"/>
        </w:rPr>
        <w:t>,</w:t>
      </w:r>
      <w:r w:rsidR="000567AE" w:rsidRPr="00726FF4">
        <w:rPr>
          <w:rFonts w:ascii="Verdana" w:eastAsia="Times New Roman" w:hAnsi="Verdana" w:cs="Times New Roman"/>
          <w:sz w:val="20"/>
          <w:szCs w:val="20"/>
          <w:lang w:val="bg-BG"/>
        </w:rPr>
        <w:t xml:space="preserve"> П.1.3</w:t>
      </w:r>
      <w:r w:rsidR="000567AE" w:rsidRPr="00726FF4">
        <w:rPr>
          <w:rFonts w:ascii="Verdana" w:eastAsia="Times New Roman" w:hAnsi="Verdana" w:cs="Times New Roman"/>
          <w:sz w:val="20"/>
          <w:szCs w:val="20"/>
        </w:rPr>
        <w:t>n</w:t>
      </w:r>
      <w:r w:rsidR="000567AE">
        <w:rPr>
          <w:rFonts w:ascii="Verdana" w:eastAsia="Times New Roman" w:hAnsi="Verdana" w:cs="Times New Roman"/>
          <w:sz w:val="20"/>
          <w:szCs w:val="20"/>
        </w:rPr>
        <w:t xml:space="preserve"> </w:t>
      </w:r>
      <w:r w:rsidR="000567AE">
        <w:rPr>
          <w:rFonts w:ascii="Verdana" w:eastAsia="Times New Roman" w:hAnsi="Verdana" w:cs="Times New Roman"/>
          <w:sz w:val="20"/>
          <w:szCs w:val="20"/>
          <w:lang w:val="bg-BG"/>
        </w:rPr>
        <w:t>са</w:t>
      </w:r>
      <w:r w:rsidR="000567AE">
        <w:rPr>
          <w:rFonts w:ascii="Verdana" w:eastAsia="Times New Roman" w:hAnsi="Verdana" w:cs="Times New Roman"/>
          <w:sz w:val="20"/>
          <w:szCs w:val="20"/>
        </w:rPr>
        <w:t xml:space="preserve">  </w:t>
      </w:r>
      <w:r w:rsidR="000567AE">
        <w:rPr>
          <w:rFonts w:ascii="Verdana" w:eastAsia="Times New Roman" w:hAnsi="Verdana" w:cs="Times New Roman"/>
          <w:sz w:val="20"/>
          <w:szCs w:val="20"/>
          <w:lang w:val="bg-BG"/>
        </w:rPr>
        <w:t>получени като средноаритметично от отделните членове на оценителната комисия по съответния показател). П1</w:t>
      </w:r>
      <w:r>
        <w:rPr>
          <w:rFonts w:ascii="Verdana" w:eastAsia="Times New Roman" w:hAnsi="Verdana" w:cs="Times New Roman"/>
          <w:sz w:val="20"/>
          <w:szCs w:val="20"/>
        </w:rPr>
        <w:t>n</w:t>
      </w:r>
      <w:r w:rsidR="005F4E35" w:rsidRPr="005F4E35">
        <w:rPr>
          <w:rFonts w:ascii="Verdana" w:eastAsia="Times New Roman" w:hAnsi="Verdana" w:cs="Times New Roman"/>
          <w:sz w:val="20"/>
          <w:szCs w:val="20"/>
          <w:lang w:val="bg-BG"/>
        </w:rPr>
        <w:t xml:space="preserve"> е общият брой точки (точковата оценка), с които комисията е оценила техническото предложение на участника N;</w:t>
      </w:r>
    </w:p>
    <w:p w14:paraId="71579032" w14:textId="690A1032" w:rsidR="005F4E35" w:rsidRPr="005F4E35" w:rsidRDefault="000567AE" w:rsidP="005F4E35">
      <w:pPr>
        <w:spacing w:before="60" w:after="60" w:line="240" w:lineRule="auto"/>
        <w:ind w:firstLine="708"/>
        <w:jc w:val="both"/>
        <w:rPr>
          <w:rFonts w:ascii="Verdana" w:eastAsia="Times New Roman" w:hAnsi="Verdana" w:cs="Times New Roman"/>
          <w:sz w:val="20"/>
          <w:szCs w:val="20"/>
          <w:lang w:val="bg-BG"/>
        </w:rPr>
      </w:pPr>
      <w:r>
        <w:rPr>
          <w:rFonts w:ascii="Verdana" w:eastAsia="Times New Roman" w:hAnsi="Verdana" w:cs="Times New Roman"/>
          <w:sz w:val="20"/>
          <w:szCs w:val="20"/>
          <w:lang w:val="bg-BG"/>
        </w:rPr>
        <w:t>П1</w:t>
      </w:r>
      <w:r w:rsidR="005F4E35" w:rsidRPr="005F4E35">
        <w:rPr>
          <w:rFonts w:ascii="Verdana" w:eastAsia="Times New Roman" w:hAnsi="Verdana" w:cs="Times New Roman"/>
          <w:sz w:val="20"/>
          <w:szCs w:val="20"/>
          <w:vertAlign w:val="subscript"/>
          <w:lang w:val="bg-BG"/>
        </w:rPr>
        <w:t>N</w:t>
      </w:r>
      <w:r w:rsidR="005F4E35" w:rsidRPr="005F4E35">
        <w:rPr>
          <w:rFonts w:ascii="Verdana" w:eastAsia="Times New Roman" w:hAnsi="Verdana" w:cs="Times New Roman"/>
          <w:sz w:val="20"/>
          <w:szCs w:val="20"/>
          <w:lang w:val="bg-BG"/>
        </w:rPr>
        <w:t xml:space="preserve"> се явява общата точкова оценка, която получава техническото предложение на съответния участник (N);</w:t>
      </w:r>
    </w:p>
    <w:p w14:paraId="4743B99C" w14:textId="5B3CA14C" w:rsidR="005F4E35" w:rsidRPr="005F4E35" w:rsidRDefault="005F4E35" w:rsidP="005F4E35">
      <w:pPr>
        <w:spacing w:before="60" w:after="60" w:line="240" w:lineRule="auto"/>
        <w:ind w:firstLine="708"/>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 xml:space="preserve">Максималната стойност на </w:t>
      </w:r>
      <w:r w:rsidR="000567AE">
        <w:rPr>
          <w:rFonts w:ascii="Verdana" w:eastAsia="Times New Roman" w:hAnsi="Verdana" w:cs="Times New Roman"/>
          <w:sz w:val="20"/>
          <w:szCs w:val="20"/>
          <w:lang w:val="bg-BG"/>
        </w:rPr>
        <w:t>П1</w:t>
      </w:r>
      <w:r w:rsidRPr="005F4E35">
        <w:rPr>
          <w:rFonts w:ascii="Verdana" w:eastAsia="Times New Roman" w:hAnsi="Verdana" w:cs="Times New Roman"/>
          <w:sz w:val="20"/>
          <w:szCs w:val="20"/>
          <w:vertAlign w:val="subscript"/>
          <w:lang w:val="bg-BG"/>
        </w:rPr>
        <w:t>N</w:t>
      </w:r>
      <w:r w:rsidRPr="005F4E35">
        <w:rPr>
          <w:rFonts w:ascii="Verdana" w:eastAsia="Times New Roman" w:hAnsi="Verdana" w:cs="Times New Roman"/>
          <w:sz w:val="20"/>
          <w:szCs w:val="20"/>
          <w:lang w:val="bg-BG"/>
        </w:rPr>
        <w:t xml:space="preserve"> е </w:t>
      </w:r>
      <w:r w:rsidR="00726FF4">
        <w:rPr>
          <w:rFonts w:ascii="Verdana" w:eastAsia="Times New Roman" w:hAnsi="Verdana" w:cs="Times New Roman"/>
          <w:b/>
          <w:sz w:val="20"/>
          <w:szCs w:val="20"/>
          <w:lang w:val="bg-BG"/>
        </w:rPr>
        <w:t>1</w:t>
      </w:r>
      <w:r w:rsidRPr="005F4E35">
        <w:rPr>
          <w:rFonts w:ascii="Verdana" w:eastAsia="Times New Roman" w:hAnsi="Verdana" w:cs="Times New Roman"/>
          <w:b/>
          <w:sz w:val="20"/>
          <w:szCs w:val="20"/>
          <w:lang w:val="bg-BG"/>
        </w:rPr>
        <w:t>00 точки</w:t>
      </w:r>
      <w:r w:rsidRPr="005F4E35">
        <w:rPr>
          <w:rFonts w:ascii="Verdana" w:eastAsia="Times New Roman" w:hAnsi="Verdana" w:cs="Times New Roman"/>
          <w:sz w:val="20"/>
          <w:szCs w:val="20"/>
          <w:lang w:val="bg-BG"/>
        </w:rPr>
        <w:t>.</w:t>
      </w:r>
    </w:p>
    <w:p w14:paraId="1E4B7369" w14:textId="77777777" w:rsidR="000567AE" w:rsidRDefault="000567AE" w:rsidP="005F4E35">
      <w:pPr>
        <w:spacing w:before="60" w:after="60" w:line="240" w:lineRule="auto"/>
        <w:ind w:right="-2" w:firstLine="709"/>
        <w:jc w:val="both"/>
        <w:rPr>
          <w:rFonts w:ascii="Verdana" w:eastAsia="Times New Roman" w:hAnsi="Verdana" w:cs="Times New Roman"/>
          <w:sz w:val="20"/>
          <w:szCs w:val="20"/>
          <w:lang w:val="bg-BG"/>
        </w:rPr>
      </w:pPr>
    </w:p>
    <w:p w14:paraId="68F8E4CD"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2. ФИНАНСОВА ОЦЕНКА НА ПРЕДЛОЖЕНИЕТО (П2)</w:t>
      </w:r>
    </w:p>
    <w:p w14:paraId="2F6E8183"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Финансовото предложение на всеки отделен участник в процедурата се оценява съгласно следната формула:</w:t>
      </w:r>
    </w:p>
    <w:p w14:paraId="3D6B4DCA"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ab/>
      </w:r>
      <w:r w:rsidRPr="005F4E35">
        <w:rPr>
          <w:rFonts w:ascii="Verdana" w:eastAsia="Times New Roman" w:hAnsi="Verdana" w:cs="Times New Roman"/>
          <w:sz w:val="20"/>
          <w:szCs w:val="20"/>
          <w:lang w:val="bg-BG"/>
        </w:rPr>
        <w:tab/>
      </w:r>
      <w:proofErr w:type="spellStart"/>
      <w:r w:rsidRPr="005F4E35">
        <w:rPr>
          <w:rFonts w:ascii="Verdana" w:eastAsia="Times New Roman" w:hAnsi="Verdana" w:cs="Times New Roman"/>
          <w:sz w:val="20"/>
          <w:szCs w:val="20"/>
          <w:lang w:val="bg-BG"/>
        </w:rPr>
        <w:t>ЦО</w:t>
      </w:r>
      <w:r w:rsidRPr="005F4E35">
        <w:rPr>
          <w:rFonts w:ascii="Verdana" w:eastAsia="Times New Roman" w:hAnsi="Verdana" w:cs="Times New Roman"/>
          <w:sz w:val="20"/>
          <w:szCs w:val="20"/>
          <w:vertAlign w:val="subscript"/>
          <w:lang w:val="bg-BG"/>
        </w:rPr>
        <w:t>min</w:t>
      </w:r>
      <w:proofErr w:type="spellEnd"/>
    </w:p>
    <w:p w14:paraId="589417FF"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 xml:space="preserve">П2 </w:t>
      </w:r>
      <w:r w:rsidRPr="005F4E35">
        <w:rPr>
          <w:rFonts w:ascii="Verdana" w:eastAsia="Times New Roman" w:hAnsi="Verdana" w:cs="Times New Roman"/>
          <w:sz w:val="20"/>
          <w:szCs w:val="20"/>
          <w:vertAlign w:val="subscript"/>
          <w:lang w:val="bg-BG"/>
        </w:rPr>
        <w:t>N</w:t>
      </w:r>
      <w:r w:rsidRPr="005F4E35">
        <w:rPr>
          <w:rFonts w:ascii="Verdana" w:eastAsia="Times New Roman" w:hAnsi="Verdana" w:cs="Times New Roman"/>
          <w:sz w:val="20"/>
          <w:szCs w:val="20"/>
          <w:lang w:val="bg-BG"/>
        </w:rPr>
        <w:t xml:space="preserve"> = –––––––––––––– х 100,</w:t>
      </w:r>
    </w:p>
    <w:p w14:paraId="446974C4"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ab/>
      </w:r>
      <w:r w:rsidRPr="005F4E35">
        <w:rPr>
          <w:rFonts w:ascii="Verdana" w:eastAsia="Times New Roman" w:hAnsi="Verdana" w:cs="Times New Roman"/>
          <w:sz w:val="20"/>
          <w:szCs w:val="20"/>
          <w:lang w:val="bg-BG"/>
        </w:rPr>
        <w:tab/>
        <w:t>ЦО</w:t>
      </w:r>
      <w:r w:rsidRPr="005F4E35">
        <w:rPr>
          <w:rFonts w:ascii="Verdana" w:eastAsia="Times New Roman" w:hAnsi="Verdana" w:cs="Times New Roman"/>
          <w:sz w:val="20"/>
          <w:szCs w:val="20"/>
          <w:vertAlign w:val="subscript"/>
          <w:lang w:val="bg-BG"/>
        </w:rPr>
        <w:t>N</w:t>
      </w:r>
    </w:p>
    <w:p w14:paraId="1CB168F5" w14:textId="77777777" w:rsidR="005F4E35" w:rsidRPr="005F4E35" w:rsidRDefault="005F4E35" w:rsidP="005F4E35">
      <w:pPr>
        <w:spacing w:before="60" w:after="60" w:line="240" w:lineRule="auto"/>
        <w:jc w:val="both"/>
        <w:rPr>
          <w:rFonts w:ascii="Verdana" w:eastAsia="Times New Roman" w:hAnsi="Verdana" w:cs="Times New Roman"/>
          <w:sz w:val="20"/>
          <w:szCs w:val="20"/>
          <w:lang w:val="bg-BG"/>
        </w:rPr>
      </w:pPr>
    </w:p>
    <w:p w14:paraId="5D144C1B"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където:</w:t>
      </w:r>
    </w:p>
    <w:p w14:paraId="6EB87E20"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proofErr w:type="spellStart"/>
      <w:r w:rsidRPr="005F4E35">
        <w:rPr>
          <w:rFonts w:ascii="Verdana" w:eastAsia="Times New Roman" w:hAnsi="Verdana" w:cs="Times New Roman"/>
          <w:sz w:val="20"/>
          <w:szCs w:val="20"/>
          <w:lang w:val="bg-BG"/>
        </w:rPr>
        <w:t>ЦО</w:t>
      </w:r>
      <w:r w:rsidRPr="005F4E35">
        <w:rPr>
          <w:rFonts w:ascii="Verdana" w:eastAsia="Times New Roman" w:hAnsi="Verdana" w:cs="Times New Roman"/>
          <w:sz w:val="20"/>
          <w:szCs w:val="20"/>
          <w:vertAlign w:val="subscript"/>
          <w:lang w:val="bg-BG"/>
        </w:rPr>
        <w:t>min</w:t>
      </w:r>
      <w:proofErr w:type="spellEnd"/>
      <w:r w:rsidRPr="005F4E35">
        <w:rPr>
          <w:rFonts w:ascii="Verdana" w:eastAsia="Times New Roman" w:hAnsi="Verdana" w:cs="Times New Roman"/>
          <w:sz w:val="20"/>
          <w:szCs w:val="20"/>
          <w:lang w:val="bg-BG"/>
        </w:rPr>
        <w:t xml:space="preserve"> е най-ниската предложена от участник в процедурата цена (в лева, без ДДС);</w:t>
      </w:r>
    </w:p>
    <w:p w14:paraId="36CB750E"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ЦО</w:t>
      </w:r>
      <w:r w:rsidRPr="005F4E35">
        <w:rPr>
          <w:rFonts w:ascii="Verdana" w:eastAsia="Times New Roman" w:hAnsi="Verdana" w:cs="Times New Roman"/>
          <w:sz w:val="20"/>
          <w:szCs w:val="20"/>
          <w:vertAlign w:val="subscript"/>
          <w:lang w:val="bg-BG"/>
        </w:rPr>
        <w:t>N</w:t>
      </w:r>
      <w:r w:rsidRPr="005F4E35">
        <w:rPr>
          <w:rFonts w:ascii="Verdana" w:eastAsia="Times New Roman" w:hAnsi="Verdana" w:cs="Times New Roman"/>
          <w:sz w:val="20"/>
          <w:szCs w:val="20"/>
          <w:lang w:val="bg-BG"/>
        </w:rPr>
        <w:t xml:space="preserve"> е предложената от участника N цена (в лева, без ДДС).</w:t>
      </w:r>
    </w:p>
    <w:p w14:paraId="3656756D"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Максималната стойност на П2 е 100 точки.</w:t>
      </w:r>
    </w:p>
    <w:p w14:paraId="2DE39A2F"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3. КОМПЛЕКСНА ОЦЕНКА (КО)</w:t>
      </w:r>
    </w:p>
    <w:p w14:paraId="0F9ED0C6"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Комплексната оценка се изчислява за всеки отделен участник по следния начин:</w:t>
      </w:r>
    </w:p>
    <w:p w14:paraId="5ABBEB48"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КО = П1 х 0.5 + П2 х 0.5</w:t>
      </w:r>
    </w:p>
    <w:p w14:paraId="763E2190" w14:textId="77777777" w:rsidR="005F4E35" w:rsidRPr="005F4E35" w:rsidRDefault="005F4E35" w:rsidP="005F4E35">
      <w:pPr>
        <w:spacing w:before="60" w:after="60" w:line="240" w:lineRule="auto"/>
        <w:ind w:right="-2" w:firstLine="709"/>
        <w:jc w:val="both"/>
        <w:rPr>
          <w:rFonts w:ascii="Verdana" w:eastAsia="Times New Roman" w:hAnsi="Verdana" w:cs="Times New Roman"/>
          <w:sz w:val="20"/>
          <w:szCs w:val="20"/>
          <w:lang w:val="bg-BG"/>
        </w:rPr>
      </w:pPr>
      <w:r w:rsidRPr="005F4E35">
        <w:rPr>
          <w:rFonts w:ascii="Verdana" w:eastAsia="Times New Roman" w:hAnsi="Verdana" w:cs="Times New Roman"/>
          <w:sz w:val="20"/>
          <w:szCs w:val="20"/>
          <w:lang w:val="bg-BG"/>
        </w:rPr>
        <w:t>Максималната стойност на КО е 100 точки.</w:t>
      </w:r>
    </w:p>
    <w:p w14:paraId="506D6C5D" w14:textId="77777777" w:rsidR="005F4E35" w:rsidRDefault="005F4E35" w:rsidP="002E5DE8">
      <w:pPr>
        <w:spacing w:before="60" w:after="60" w:line="240" w:lineRule="auto"/>
        <w:ind w:right="-2"/>
        <w:jc w:val="both"/>
        <w:rPr>
          <w:rFonts w:ascii="Verdana" w:eastAsia="Times New Roman" w:hAnsi="Verdana" w:cs="Times New Roman"/>
          <w:i/>
          <w:sz w:val="20"/>
          <w:szCs w:val="20"/>
          <w:lang w:val="bg-BG"/>
        </w:rPr>
      </w:pPr>
    </w:p>
    <w:p w14:paraId="02F8C2BF" w14:textId="0D72A794" w:rsidR="005F4E35" w:rsidRPr="0039470E" w:rsidRDefault="005F4E35" w:rsidP="000340DA">
      <w:pPr>
        <w:spacing w:before="60" w:after="60" w:line="240" w:lineRule="auto"/>
        <w:ind w:right="-2" w:firstLine="709"/>
        <w:jc w:val="both"/>
        <w:rPr>
          <w:rFonts w:ascii="Verdana" w:eastAsia="Times New Roman" w:hAnsi="Verdana" w:cs="Arial"/>
          <w:sz w:val="20"/>
          <w:szCs w:val="20"/>
          <w:lang w:val="bg-BG" w:eastAsia="bg-BG"/>
        </w:rPr>
      </w:pPr>
      <w:r w:rsidRPr="005F4E35">
        <w:rPr>
          <w:rFonts w:ascii="Verdana" w:eastAsia="Times New Roman" w:hAnsi="Verdana" w:cs="Times New Roman"/>
          <w:i/>
          <w:sz w:val="20"/>
          <w:szCs w:val="20"/>
          <w:lang w:val="bg-BG"/>
        </w:rPr>
        <w:t xml:space="preserve">Забележка: </w:t>
      </w:r>
      <w:r w:rsidRPr="002B1CB7">
        <w:rPr>
          <w:rFonts w:ascii="Verdana" w:eastAsia="Times New Roman" w:hAnsi="Verdana" w:cs="Times New Roman"/>
          <w:sz w:val="20"/>
          <w:szCs w:val="20"/>
          <w:lang w:val="bg-BG"/>
        </w:rPr>
        <w:t>Ако получените оценки (комплексна, техническа, финансова или точкова оценка) не са цели числа, а десетични дроби, те следва да се закръглят до втория знак след десетичната запетая.</w:t>
      </w:r>
    </w:p>
    <w:sectPr w:rsidR="005F4E35" w:rsidRPr="0039470E" w:rsidSect="00DE6A1D">
      <w:headerReference w:type="default" r:id="rId8"/>
      <w:footerReference w:type="default" r:id="rId9"/>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30F88" w14:textId="77777777" w:rsidR="00AD0165" w:rsidRDefault="00AD0165" w:rsidP="00B15A1F">
      <w:pPr>
        <w:spacing w:after="0" w:line="240" w:lineRule="auto"/>
      </w:pPr>
      <w:r>
        <w:separator/>
      </w:r>
    </w:p>
  </w:endnote>
  <w:endnote w:type="continuationSeparator" w:id="0">
    <w:p w14:paraId="6A24383E" w14:textId="77777777" w:rsidR="00AD0165" w:rsidRDefault="00AD0165" w:rsidP="00B15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1133495"/>
      <w:docPartObj>
        <w:docPartGallery w:val="Page Numbers (Bottom of Page)"/>
        <w:docPartUnique/>
      </w:docPartObj>
    </w:sdtPr>
    <w:sdtEndPr/>
    <w:sdtContent>
      <w:sdt>
        <w:sdtPr>
          <w:id w:val="-10526666"/>
          <w:docPartObj>
            <w:docPartGallery w:val="Page Numbers (Top of Page)"/>
            <w:docPartUnique/>
          </w:docPartObj>
        </w:sdtPr>
        <w:sdtEndPr/>
        <w:sdtContent>
          <w:p w14:paraId="4EBD9D05" w14:textId="2F768278" w:rsidR="00636CFA" w:rsidRDefault="00636CFA">
            <w:pPr>
              <w:pStyle w:val="a8"/>
              <w:jc w:val="right"/>
            </w:pPr>
            <w:r>
              <w:rPr>
                <w:sz w:val="16"/>
                <w:szCs w:val="16"/>
                <w:lang w:val="bg-BG"/>
              </w:rPr>
              <w:t>Стр.</w:t>
            </w:r>
            <w:r w:rsidRPr="00B15A1F">
              <w:rPr>
                <w:sz w:val="16"/>
                <w:szCs w:val="16"/>
              </w:rPr>
              <w:t xml:space="preserve"> </w:t>
            </w:r>
            <w:r w:rsidRPr="00B15A1F">
              <w:rPr>
                <w:b/>
                <w:bCs/>
                <w:sz w:val="16"/>
                <w:szCs w:val="16"/>
              </w:rPr>
              <w:fldChar w:fldCharType="begin"/>
            </w:r>
            <w:r w:rsidRPr="00B15A1F">
              <w:rPr>
                <w:b/>
                <w:bCs/>
                <w:sz w:val="16"/>
                <w:szCs w:val="16"/>
              </w:rPr>
              <w:instrText xml:space="preserve"> PAGE </w:instrText>
            </w:r>
            <w:r w:rsidRPr="00B15A1F">
              <w:rPr>
                <w:b/>
                <w:bCs/>
                <w:sz w:val="16"/>
                <w:szCs w:val="16"/>
              </w:rPr>
              <w:fldChar w:fldCharType="separate"/>
            </w:r>
            <w:r w:rsidR="001A7EA7">
              <w:rPr>
                <w:b/>
                <w:bCs/>
                <w:noProof/>
                <w:sz w:val="16"/>
                <w:szCs w:val="16"/>
              </w:rPr>
              <w:t>6</w:t>
            </w:r>
            <w:r w:rsidRPr="00B15A1F">
              <w:rPr>
                <w:b/>
                <w:bCs/>
                <w:sz w:val="16"/>
                <w:szCs w:val="16"/>
              </w:rPr>
              <w:fldChar w:fldCharType="end"/>
            </w:r>
            <w:r w:rsidRPr="00B15A1F">
              <w:rPr>
                <w:sz w:val="16"/>
                <w:szCs w:val="16"/>
              </w:rPr>
              <w:t xml:space="preserve"> </w:t>
            </w:r>
            <w:r>
              <w:rPr>
                <w:sz w:val="16"/>
                <w:szCs w:val="16"/>
                <w:lang w:val="bg-BG"/>
              </w:rPr>
              <w:t>/</w:t>
            </w:r>
            <w:r w:rsidRPr="00B15A1F">
              <w:rPr>
                <w:sz w:val="16"/>
                <w:szCs w:val="16"/>
              </w:rPr>
              <w:t xml:space="preserve"> </w:t>
            </w:r>
            <w:r w:rsidRPr="00B15A1F">
              <w:rPr>
                <w:b/>
                <w:bCs/>
                <w:sz w:val="16"/>
                <w:szCs w:val="16"/>
              </w:rPr>
              <w:fldChar w:fldCharType="begin"/>
            </w:r>
            <w:r w:rsidRPr="00B15A1F">
              <w:rPr>
                <w:b/>
                <w:bCs/>
                <w:sz w:val="16"/>
                <w:szCs w:val="16"/>
              </w:rPr>
              <w:instrText xml:space="preserve"> NUMPAGES  </w:instrText>
            </w:r>
            <w:r w:rsidRPr="00B15A1F">
              <w:rPr>
                <w:b/>
                <w:bCs/>
                <w:sz w:val="16"/>
                <w:szCs w:val="16"/>
              </w:rPr>
              <w:fldChar w:fldCharType="separate"/>
            </w:r>
            <w:r w:rsidR="001A7EA7">
              <w:rPr>
                <w:b/>
                <w:bCs/>
                <w:noProof/>
                <w:sz w:val="16"/>
                <w:szCs w:val="16"/>
              </w:rPr>
              <w:t>6</w:t>
            </w:r>
            <w:r w:rsidRPr="00B15A1F">
              <w:rPr>
                <w:b/>
                <w:bCs/>
                <w:sz w:val="16"/>
                <w:szCs w:val="16"/>
              </w:rPr>
              <w:fldChar w:fldCharType="end"/>
            </w:r>
          </w:p>
        </w:sdtContent>
      </w:sdt>
    </w:sdtContent>
  </w:sdt>
  <w:p w14:paraId="35861BD0" w14:textId="041993CA" w:rsidR="00636CFA" w:rsidRPr="0097516C" w:rsidRDefault="00636CFA" w:rsidP="0097516C">
    <w:pPr>
      <w:pStyle w:val="a8"/>
      <w:jc w:val="center"/>
      <w:rPr>
        <w:rFonts w:ascii="Arial" w:eastAsia="Times New Roman" w:hAnsi="Arial" w:cs="Times New Roman"/>
        <w:i/>
        <w:sz w:val="16"/>
        <w:szCs w:val="20"/>
        <w:lang w:eastAsia="en-GB"/>
      </w:rPr>
    </w:pPr>
    <w:r w:rsidRPr="0097516C">
      <w:rPr>
        <w:rFonts w:ascii="Arial" w:eastAsia="Times New Roman" w:hAnsi="Arial" w:cs="Times New Roman"/>
        <w:i/>
        <w:sz w:val="16"/>
        <w:szCs w:val="20"/>
        <w:lang w:val="x-none" w:eastAsia="en-GB"/>
      </w:rPr>
      <w:t>----------------------------------</w:t>
    </w:r>
    <w:r w:rsidRPr="0097516C">
      <w:rPr>
        <w:rFonts w:ascii="Arial" w:eastAsia="Times New Roman" w:hAnsi="Arial" w:cs="Times New Roman"/>
        <w:i/>
        <w:sz w:val="16"/>
        <w:szCs w:val="20"/>
        <w:lang w:eastAsia="en-GB"/>
      </w:rPr>
      <w:t>---</w:t>
    </w:r>
    <w:r w:rsidRPr="0097516C">
      <w:rPr>
        <w:rFonts w:ascii="Arial" w:eastAsia="Times New Roman" w:hAnsi="Arial" w:cs="Times New Roman"/>
        <w:i/>
        <w:sz w:val="16"/>
        <w:szCs w:val="20"/>
        <w:lang w:val="x-none" w:eastAsia="en-GB"/>
      </w:rPr>
      <w:t xml:space="preserve">----------------- </w:t>
    </w:r>
    <w:hyperlink r:id="rId1" w:history="1">
      <w:r w:rsidRPr="0097516C">
        <w:rPr>
          <w:rFonts w:ascii="Arial" w:eastAsia="Times New Roman" w:hAnsi="Arial" w:cs="Times New Roman"/>
          <w:i/>
          <w:color w:val="0000FF"/>
          <w:sz w:val="16"/>
          <w:szCs w:val="20"/>
          <w:u w:val="single"/>
          <w:lang w:eastAsia="en-GB"/>
        </w:rPr>
        <w:t>www.eufunds.bg</w:t>
      </w:r>
    </w:hyperlink>
    <w:r w:rsidRPr="0097516C">
      <w:rPr>
        <w:rFonts w:ascii="Arial" w:eastAsia="Times New Roman" w:hAnsi="Arial" w:cs="Times New Roman"/>
        <w:i/>
        <w:sz w:val="16"/>
        <w:szCs w:val="20"/>
        <w:lang w:eastAsia="en-GB"/>
      </w:rPr>
      <w:t xml:space="preserve"> ------------------------------------------------------</w:t>
    </w:r>
  </w:p>
  <w:p w14:paraId="74E5CEDB" w14:textId="77777777" w:rsidR="00636CFA" w:rsidRPr="0097516C" w:rsidRDefault="00636CFA" w:rsidP="0097516C">
    <w:pPr>
      <w:spacing w:after="0" w:line="240" w:lineRule="auto"/>
      <w:ind w:right="-567"/>
      <w:jc w:val="center"/>
      <w:rPr>
        <w:rFonts w:ascii="Times New Roman" w:eastAsia="Times New Roman" w:hAnsi="Times New Roman" w:cs="Times New Roman"/>
        <w:sz w:val="20"/>
        <w:szCs w:val="20"/>
        <w:lang w:val="bg-BG" w:eastAsia="en-GB"/>
      </w:rPr>
    </w:pPr>
    <w:r w:rsidRPr="0097516C">
      <w:rPr>
        <w:rFonts w:ascii="Times New Roman" w:eastAsia="Times New Roman" w:hAnsi="Times New Roman" w:cs="Times New Roman"/>
        <w:sz w:val="20"/>
        <w:szCs w:val="20"/>
        <w:lang w:val="bg-BG" w:eastAsia="en-GB"/>
      </w:rPr>
      <w:t xml:space="preserve">Проект </w:t>
    </w:r>
    <w:r w:rsidRPr="0097516C">
      <w:rPr>
        <w:rFonts w:ascii="Times New Roman" w:eastAsia="Times New Roman" w:hAnsi="Times New Roman" w:cs="Times New Roman"/>
        <w:sz w:val="20"/>
        <w:szCs w:val="20"/>
        <w:lang w:val="en-GB" w:eastAsia="en-GB"/>
      </w:rPr>
      <w:t xml:space="preserve">BG05M9OP001-3.004 </w:t>
    </w:r>
    <w:r w:rsidRPr="0097516C">
      <w:rPr>
        <w:rFonts w:ascii="Times New Roman" w:eastAsia="Times New Roman" w:hAnsi="Times New Roman" w:cs="Times New Roman"/>
        <w:sz w:val="20"/>
        <w:szCs w:val="20"/>
        <w:lang w:val="bg-BG" w:eastAsia="en-GB"/>
      </w:rPr>
      <w:t>„Оптимизация и иновации в ИА ГИТ“</w:t>
    </w:r>
    <w:r w:rsidRPr="0097516C">
      <w:rPr>
        <w:rFonts w:ascii="Times New Roman" w:eastAsia="Times New Roman" w:hAnsi="Times New Roman" w:cs="Times New Roman"/>
        <w:b/>
        <w:bCs/>
        <w:sz w:val="20"/>
        <w:szCs w:val="20"/>
        <w:lang w:val="bg-BG" w:eastAsia="en-GB"/>
      </w:rPr>
      <w:t xml:space="preserve">, </w:t>
    </w:r>
    <w:r w:rsidRPr="0097516C">
      <w:rPr>
        <w:rFonts w:ascii="Times New Roman" w:eastAsia="Times New Roman" w:hAnsi="Times New Roman" w:cs="Times New Roman"/>
        <w:sz w:val="20"/>
        <w:szCs w:val="20"/>
        <w:lang w:val="bg-BG" w:eastAsia="en-GB"/>
      </w:rPr>
      <w:t>финансиран от Оперативна програма „Развитие на човешките ресурси“, съфинансирана от Европейския съюз чрез Европейския социален фонд</w:t>
    </w:r>
  </w:p>
  <w:p w14:paraId="7C1F5C18" w14:textId="0EC5682A" w:rsidR="00636CFA" w:rsidRPr="009E17CB" w:rsidRDefault="00636CFA" w:rsidP="0097516C">
    <w:pPr>
      <w:pStyle w:val="a8"/>
      <w:tabs>
        <w:tab w:val="clear" w:pos="4680"/>
        <w:tab w:val="clear" w:pos="9360"/>
        <w:tab w:val="left" w:pos="4065"/>
      </w:tabs>
      <w:rPr>
        <w:rFonts w:ascii="Times New Roman" w:hAnsi="Times New Roman"/>
        <w:sz w:val="20"/>
      </w:rPr>
    </w:pPr>
  </w:p>
  <w:p w14:paraId="5B3DAF3E" w14:textId="77777777" w:rsidR="00636CFA" w:rsidRDefault="00636C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BC1A3" w14:textId="77777777" w:rsidR="00AD0165" w:rsidRDefault="00AD0165" w:rsidP="00B15A1F">
      <w:pPr>
        <w:spacing w:after="0" w:line="240" w:lineRule="auto"/>
      </w:pPr>
      <w:r>
        <w:separator/>
      </w:r>
    </w:p>
  </w:footnote>
  <w:footnote w:type="continuationSeparator" w:id="0">
    <w:p w14:paraId="703FFC6F" w14:textId="77777777" w:rsidR="00AD0165" w:rsidRDefault="00AD0165" w:rsidP="00B15A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DE37F" w14:textId="77777777" w:rsidR="00636CFA" w:rsidRDefault="00636CFA" w:rsidP="0097516C">
    <w:pPr>
      <w:pStyle w:val="a6"/>
      <w:pBdr>
        <w:bottom w:val="double" w:sz="4" w:space="1" w:color="auto"/>
      </w:pBdr>
      <w:jc w:val="center"/>
      <w:rPr>
        <w:b/>
        <w:sz w:val="18"/>
        <w:szCs w:val="18"/>
        <w:lang w:val="ru-RU"/>
      </w:rPr>
    </w:pPr>
  </w:p>
  <w:p w14:paraId="1C9D6424" w14:textId="5ABCFEA1" w:rsidR="00636CFA" w:rsidRDefault="00636CFA" w:rsidP="0097516C">
    <w:pPr>
      <w:pStyle w:val="a6"/>
      <w:pBdr>
        <w:bottom w:val="double" w:sz="4" w:space="1" w:color="auto"/>
      </w:pBdr>
      <w:tabs>
        <w:tab w:val="right" w:pos="9720"/>
      </w:tabs>
      <w:rPr>
        <w:noProof/>
      </w:rPr>
    </w:pPr>
    <w:r>
      <w:rPr>
        <w:noProof/>
        <w:lang w:val="bg-BG" w:eastAsia="bg-BG"/>
      </w:rPr>
      <w:drawing>
        <wp:inline distT="0" distB="0" distL="0" distR="0" wp14:anchorId="6B919CDF" wp14:editId="4C3BF6B2">
          <wp:extent cx="1009650" cy="1129665"/>
          <wp:effectExtent l="0" t="0" r="0" b="0"/>
          <wp:docPr id="3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9650" cy="1129665"/>
                  </a:xfrm>
                  <a:prstGeom prst="rect">
                    <a:avLst/>
                  </a:prstGeom>
                  <a:noFill/>
                  <a:ln>
                    <a:noFill/>
                  </a:ln>
                </pic:spPr>
              </pic:pic>
            </a:graphicData>
          </a:graphic>
        </wp:inline>
      </w:drawing>
    </w:r>
    <w:r>
      <w:rPr>
        <w:noProof/>
        <w:lang w:val="bg-BG"/>
      </w:rPr>
      <w:t xml:space="preserve">                         </w:t>
    </w:r>
    <w:r>
      <w:rPr>
        <w:noProof/>
      </w:rPr>
      <w:t xml:space="preserve">       </w:t>
    </w:r>
    <w:r>
      <w:rPr>
        <w:noProof/>
        <w:lang w:val="bg-BG"/>
      </w:rPr>
      <w:t xml:space="preserve">      </w:t>
    </w:r>
    <w:r>
      <w:rPr>
        <w:noProof/>
      </w:rPr>
      <w:t xml:space="preserve">    </w:t>
    </w:r>
    <w:r>
      <w:rPr>
        <w:noProof/>
        <w:lang w:val="bg-BG"/>
      </w:rPr>
      <w:t xml:space="preserve">      </w:t>
    </w:r>
    <w:r>
      <w:rPr>
        <w:noProof/>
        <w:lang w:val="bg-BG" w:eastAsia="bg-BG"/>
      </w:rPr>
      <w:drawing>
        <wp:inline distT="0" distB="0" distL="0" distR="0" wp14:anchorId="3373E2DB" wp14:editId="7FD2BD60">
          <wp:extent cx="730885" cy="720090"/>
          <wp:effectExtent l="0" t="0" r="0" b="3810"/>
          <wp:docPr id="38" name="Picture 38" descr="C:\Users\Lenovo\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C:\Users\Lenovo\Desktop\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1723" cy="740620"/>
                  </a:xfrm>
                  <a:prstGeom prst="rect">
                    <a:avLst/>
                  </a:prstGeom>
                  <a:noFill/>
                  <a:ln>
                    <a:noFill/>
                  </a:ln>
                </pic:spPr>
              </pic:pic>
            </a:graphicData>
          </a:graphic>
        </wp:inline>
      </w:drawing>
    </w:r>
    <w:r>
      <w:rPr>
        <w:noProof/>
        <w:lang w:val="bg-BG"/>
      </w:rPr>
      <w:t xml:space="preserve">                      </w:t>
    </w:r>
    <w:r>
      <w:rPr>
        <w:noProof/>
      </w:rPr>
      <w:t xml:space="preserve">      </w:t>
    </w:r>
    <w:r>
      <w:rPr>
        <w:noProof/>
        <w:lang w:val="bg-BG"/>
      </w:rPr>
      <w:t xml:space="preserve">  </w:t>
    </w:r>
    <w:r>
      <w:rPr>
        <w:noProof/>
      </w:rPr>
      <w:t xml:space="preserve">          </w:t>
    </w:r>
    <w:r>
      <w:rPr>
        <w:noProof/>
        <w:lang w:val="bg-BG"/>
      </w:rPr>
      <w:t xml:space="preserve">       </w:t>
    </w:r>
    <w:r w:rsidRPr="00AA6B6A">
      <w:rPr>
        <w:noProof/>
        <w:lang w:val="bg-BG" w:eastAsia="bg-BG"/>
      </w:rPr>
      <w:drawing>
        <wp:inline distT="0" distB="0" distL="0" distR="0" wp14:anchorId="52B81990" wp14:editId="7BB995BB">
          <wp:extent cx="1013460" cy="929640"/>
          <wp:effectExtent l="0" t="0" r="0" b="3810"/>
          <wp:docPr id="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3460" cy="929640"/>
                  </a:xfrm>
                  <a:prstGeom prst="rect">
                    <a:avLst/>
                  </a:prstGeom>
                  <a:noFill/>
                  <a:ln>
                    <a:noFill/>
                  </a:ln>
                </pic:spPr>
              </pic:pic>
            </a:graphicData>
          </a:graphic>
        </wp:inline>
      </w:drawing>
    </w:r>
  </w:p>
  <w:p w14:paraId="03C40546" w14:textId="77777777" w:rsidR="00636CFA" w:rsidRPr="0097516C" w:rsidRDefault="00636CFA" w:rsidP="0097516C">
    <w:pPr>
      <w:pBdr>
        <w:bottom w:val="double" w:sz="4" w:space="1" w:color="auto"/>
      </w:pBdr>
      <w:tabs>
        <w:tab w:val="center" w:pos="4153"/>
        <w:tab w:val="right" w:pos="8306"/>
      </w:tabs>
      <w:spacing w:after="0" w:line="240" w:lineRule="auto"/>
      <w:jc w:val="center"/>
      <w:rPr>
        <w:rFonts w:ascii="Times New Roman" w:eastAsia="Times New Roman" w:hAnsi="Times New Roman" w:cs="Times New Roman"/>
        <w:b/>
        <w:sz w:val="18"/>
        <w:szCs w:val="18"/>
        <w:lang w:val="ru-RU" w:eastAsia="en-GB"/>
      </w:rPr>
    </w:pPr>
    <w:r w:rsidRPr="0097516C">
      <w:rPr>
        <w:rFonts w:ascii="Times New Roman" w:eastAsia="Times New Roman" w:hAnsi="Times New Roman" w:cs="Times New Roman"/>
        <w:b/>
        <w:noProof/>
        <w:sz w:val="24"/>
        <w:szCs w:val="20"/>
        <w:lang w:val="bg-BG" w:eastAsia="en-GB"/>
      </w:rPr>
      <w:t>Изпълнителна агенция „Главна инспекция по труда”</w:t>
    </w:r>
  </w:p>
  <w:p w14:paraId="7B57A2A5" w14:textId="77777777" w:rsidR="00636CFA" w:rsidRDefault="00636CF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numFmt w:val="bullet"/>
      <w:lvlText w:val="-"/>
      <w:lvlJc w:val="left"/>
      <w:pPr>
        <w:tabs>
          <w:tab w:val="num" w:pos="0"/>
        </w:tabs>
        <w:ind w:left="1044" w:hanging="360"/>
      </w:pPr>
      <w:rPr>
        <w:rFonts w:ascii="Verdana" w:hAnsi="Verdana" w:cs="Tahoma"/>
        <w:sz w:val="22"/>
      </w:rPr>
    </w:lvl>
    <w:lvl w:ilvl="1">
      <w:start w:val="1"/>
      <w:numFmt w:val="bullet"/>
      <w:lvlText w:val="o"/>
      <w:lvlJc w:val="left"/>
      <w:pPr>
        <w:tabs>
          <w:tab w:val="num" w:pos="0"/>
        </w:tabs>
        <w:ind w:left="1764" w:hanging="360"/>
      </w:pPr>
      <w:rPr>
        <w:rFonts w:ascii="Courier New" w:hAnsi="Courier New" w:cs="Courier New"/>
      </w:rPr>
    </w:lvl>
    <w:lvl w:ilvl="2">
      <w:start w:val="1"/>
      <w:numFmt w:val="bullet"/>
      <w:lvlText w:val=""/>
      <w:lvlJc w:val="left"/>
      <w:pPr>
        <w:tabs>
          <w:tab w:val="num" w:pos="0"/>
        </w:tabs>
        <w:ind w:left="2484" w:hanging="360"/>
      </w:pPr>
      <w:rPr>
        <w:rFonts w:ascii="Wingdings" w:hAnsi="Wingdings"/>
      </w:rPr>
    </w:lvl>
    <w:lvl w:ilvl="3">
      <w:start w:val="1"/>
      <w:numFmt w:val="bullet"/>
      <w:lvlText w:val=""/>
      <w:lvlJc w:val="left"/>
      <w:pPr>
        <w:tabs>
          <w:tab w:val="num" w:pos="0"/>
        </w:tabs>
        <w:ind w:left="3204" w:hanging="360"/>
      </w:pPr>
      <w:rPr>
        <w:rFonts w:ascii="Symbol" w:hAnsi="Symbol"/>
      </w:rPr>
    </w:lvl>
    <w:lvl w:ilvl="4">
      <w:start w:val="1"/>
      <w:numFmt w:val="bullet"/>
      <w:lvlText w:val="o"/>
      <w:lvlJc w:val="left"/>
      <w:pPr>
        <w:tabs>
          <w:tab w:val="num" w:pos="0"/>
        </w:tabs>
        <w:ind w:left="3924" w:hanging="360"/>
      </w:pPr>
      <w:rPr>
        <w:rFonts w:ascii="Courier New" w:hAnsi="Courier New" w:cs="Courier New"/>
      </w:rPr>
    </w:lvl>
    <w:lvl w:ilvl="5">
      <w:start w:val="1"/>
      <w:numFmt w:val="bullet"/>
      <w:lvlText w:val=""/>
      <w:lvlJc w:val="left"/>
      <w:pPr>
        <w:tabs>
          <w:tab w:val="num" w:pos="0"/>
        </w:tabs>
        <w:ind w:left="4644" w:hanging="360"/>
      </w:pPr>
      <w:rPr>
        <w:rFonts w:ascii="Wingdings" w:hAnsi="Wingdings"/>
      </w:rPr>
    </w:lvl>
    <w:lvl w:ilvl="6">
      <w:start w:val="1"/>
      <w:numFmt w:val="bullet"/>
      <w:lvlText w:val=""/>
      <w:lvlJc w:val="left"/>
      <w:pPr>
        <w:tabs>
          <w:tab w:val="num" w:pos="0"/>
        </w:tabs>
        <w:ind w:left="5364" w:hanging="360"/>
      </w:pPr>
      <w:rPr>
        <w:rFonts w:ascii="Symbol" w:hAnsi="Symbol"/>
      </w:rPr>
    </w:lvl>
    <w:lvl w:ilvl="7">
      <w:start w:val="1"/>
      <w:numFmt w:val="bullet"/>
      <w:lvlText w:val="o"/>
      <w:lvlJc w:val="left"/>
      <w:pPr>
        <w:tabs>
          <w:tab w:val="num" w:pos="0"/>
        </w:tabs>
        <w:ind w:left="6084" w:hanging="360"/>
      </w:pPr>
      <w:rPr>
        <w:rFonts w:ascii="Courier New" w:hAnsi="Courier New" w:cs="Courier New"/>
      </w:rPr>
    </w:lvl>
    <w:lvl w:ilvl="8">
      <w:start w:val="1"/>
      <w:numFmt w:val="bullet"/>
      <w:lvlText w:val=""/>
      <w:lvlJc w:val="left"/>
      <w:pPr>
        <w:tabs>
          <w:tab w:val="num" w:pos="0"/>
        </w:tabs>
        <w:ind w:left="6804" w:hanging="360"/>
      </w:pPr>
      <w:rPr>
        <w:rFonts w:ascii="Wingdings" w:hAnsi="Wingdings"/>
      </w:rPr>
    </w:lvl>
  </w:abstractNum>
  <w:abstractNum w:abstractNumId="1" w15:restartNumberingAfterBreak="0">
    <w:nsid w:val="100705D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537226"/>
    <w:multiLevelType w:val="hybridMultilevel"/>
    <w:tmpl w:val="DF84787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1139700B"/>
    <w:multiLevelType w:val="hybridMultilevel"/>
    <w:tmpl w:val="DDEC511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900"/>
        </w:tabs>
        <w:ind w:left="900" w:hanging="360"/>
      </w:pPr>
      <w:rPr>
        <w:rFonts w:cs="Times New Roman"/>
      </w:rPr>
    </w:lvl>
    <w:lvl w:ilvl="2" w:tplc="FFFFFFFF">
      <w:start w:val="1"/>
      <w:numFmt w:val="lowerRoman"/>
      <w:lvlText w:val="%3."/>
      <w:lvlJc w:val="right"/>
      <w:pPr>
        <w:tabs>
          <w:tab w:val="num" w:pos="1620"/>
        </w:tabs>
        <w:ind w:left="1620" w:hanging="180"/>
      </w:pPr>
      <w:rPr>
        <w:rFonts w:cs="Times New Roman"/>
      </w:rPr>
    </w:lvl>
    <w:lvl w:ilvl="3" w:tplc="FFFFFFFF">
      <w:start w:val="1"/>
      <w:numFmt w:val="decimal"/>
      <w:lvlText w:val="%4."/>
      <w:lvlJc w:val="left"/>
      <w:pPr>
        <w:tabs>
          <w:tab w:val="num" w:pos="2340"/>
        </w:tabs>
        <w:ind w:left="2340" w:hanging="360"/>
      </w:pPr>
      <w:rPr>
        <w:rFonts w:cs="Times New Roman"/>
      </w:rPr>
    </w:lvl>
    <w:lvl w:ilvl="4" w:tplc="FFFFFFFF">
      <w:start w:val="1"/>
      <w:numFmt w:val="lowerLetter"/>
      <w:lvlText w:val="%5."/>
      <w:lvlJc w:val="left"/>
      <w:pPr>
        <w:tabs>
          <w:tab w:val="num" w:pos="3060"/>
        </w:tabs>
        <w:ind w:left="3060" w:hanging="360"/>
      </w:pPr>
      <w:rPr>
        <w:rFonts w:cs="Times New Roman"/>
      </w:rPr>
    </w:lvl>
    <w:lvl w:ilvl="5" w:tplc="FFFFFFFF">
      <w:start w:val="1"/>
      <w:numFmt w:val="lowerRoman"/>
      <w:lvlText w:val="%6."/>
      <w:lvlJc w:val="right"/>
      <w:pPr>
        <w:tabs>
          <w:tab w:val="num" w:pos="3780"/>
        </w:tabs>
        <w:ind w:left="3780" w:hanging="180"/>
      </w:pPr>
      <w:rPr>
        <w:rFonts w:cs="Times New Roman"/>
      </w:rPr>
    </w:lvl>
    <w:lvl w:ilvl="6" w:tplc="FFFFFFFF">
      <w:start w:val="1"/>
      <w:numFmt w:val="decimal"/>
      <w:lvlText w:val="%7."/>
      <w:lvlJc w:val="left"/>
      <w:pPr>
        <w:tabs>
          <w:tab w:val="num" w:pos="4500"/>
        </w:tabs>
        <w:ind w:left="4500" w:hanging="360"/>
      </w:pPr>
      <w:rPr>
        <w:rFonts w:cs="Times New Roman"/>
      </w:rPr>
    </w:lvl>
    <w:lvl w:ilvl="7" w:tplc="FFFFFFFF">
      <w:start w:val="1"/>
      <w:numFmt w:val="lowerLetter"/>
      <w:lvlText w:val="%8."/>
      <w:lvlJc w:val="left"/>
      <w:pPr>
        <w:tabs>
          <w:tab w:val="num" w:pos="5220"/>
        </w:tabs>
        <w:ind w:left="5220" w:hanging="360"/>
      </w:pPr>
      <w:rPr>
        <w:rFonts w:cs="Times New Roman"/>
      </w:rPr>
    </w:lvl>
    <w:lvl w:ilvl="8" w:tplc="FFFFFFFF">
      <w:start w:val="1"/>
      <w:numFmt w:val="lowerRoman"/>
      <w:lvlText w:val="%9."/>
      <w:lvlJc w:val="right"/>
      <w:pPr>
        <w:tabs>
          <w:tab w:val="num" w:pos="5940"/>
        </w:tabs>
        <w:ind w:left="5940" w:hanging="180"/>
      </w:pPr>
      <w:rPr>
        <w:rFonts w:cs="Times New Roman"/>
      </w:rPr>
    </w:lvl>
  </w:abstractNum>
  <w:abstractNum w:abstractNumId="4" w15:restartNumberingAfterBreak="0">
    <w:nsid w:val="147B714A"/>
    <w:multiLevelType w:val="hybridMultilevel"/>
    <w:tmpl w:val="F4E815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6131D0F"/>
    <w:multiLevelType w:val="hybridMultilevel"/>
    <w:tmpl w:val="1C6A9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A236958"/>
    <w:multiLevelType w:val="multilevel"/>
    <w:tmpl w:val="E4EAA002"/>
    <w:lvl w:ilvl="0">
      <w:start w:val="1"/>
      <w:numFmt w:val="decimal"/>
      <w:pStyle w:val="1"/>
      <w:lvlText w:val="%1"/>
      <w:lvlJc w:val="left"/>
      <w:pPr>
        <w:ind w:left="2700" w:hanging="432"/>
      </w:pPr>
    </w:lvl>
    <w:lvl w:ilvl="1">
      <w:start w:val="1"/>
      <w:numFmt w:val="decimal"/>
      <w:pStyle w:val="2"/>
      <w:lvlText w:val="%1.%2"/>
      <w:lvlJc w:val="left"/>
      <w:pPr>
        <w:ind w:left="2844" w:hanging="576"/>
      </w:pPr>
    </w:lvl>
    <w:lvl w:ilvl="2">
      <w:start w:val="1"/>
      <w:numFmt w:val="decimal"/>
      <w:pStyle w:val="3"/>
      <w:lvlText w:val="%1.%2.%3"/>
      <w:lvlJc w:val="left"/>
      <w:pPr>
        <w:ind w:left="4068" w:hanging="720"/>
      </w:pPr>
    </w:lvl>
    <w:lvl w:ilvl="3">
      <w:start w:val="1"/>
      <w:numFmt w:val="decimal"/>
      <w:pStyle w:val="4"/>
      <w:lvlText w:val="%1.%2.%3.%4"/>
      <w:lvlJc w:val="left"/>
      <w:pPr>
        <w:ind w:left="3132" w:hanging="864"/>
      </w:pPr>
    </w:lvl>
    <w:lvl w:ilvl="4">
      <w:start w:val="1"/>
      <w:numFmt w:val="decimal"/>
      <w:pStyle w:val="5"/>
      <w:lvlText w:val="%1.%2.%3.%4.%5"/>
      <w:lvlJc w:val="left"/>
      <w:pPr>
        <w:ind w:left="3276" w:hanging="1008"/>
      </w:pPr>
    </w:lvl>
    <w:lvl w:ilvl="5">
      <w:start w:val="1"/>
      <w:numFmt w:val="decimal"/>
      <w:pStyle w:val="6"/>
      <w:lvlText w:val="%1.%2.%3.%4.%5.%6"/>
      <w:lvlJc w:val="left"/>
      <w:pPr>
        <w:ind w:left="3420" w:hanging="1152"/>
      </w:pPr>
    </w:lvl>
    <w:lvl w:ilvl="6">
      <w:start w:val="1"/>
      <w:numFmt w:val="decimal"/>
      <w:pStyle w:val="7"/>
      <w:lvlText w:val="%1.%2.%3.%4.%5.%6.%7"/>
      <w:lvlJc w:val="left"/>
      <w:pPr>
        <w:ind w:left="3564" w:hanging="1296"/>
      </w:pPr>
    </w:lvl>
    <w:lvl w:ilvl="7">
      <w:start w:val="1"/>
      <w:numFmt w:val="decimal"/>
      <w:pStyle w:val="8"/>
      <w:lvlText w:val="%1.%2.%3.%4.%5.%6.%7.%8"/>
      <w:lvlJc w:val="left"/>
      <w:pPr>
        <w:ind w:left="3708" w:hanging="1440"/>
      </w:pPr>
    </w:lvl>
    <w:lvl w:ilvl="8">
      <w:start w:val="1"/>
      <w:numFmt w:val="decimal"/>
      <w:pStyle w:val="9"/>
      <w:lvlText w:val="%1.%2.%3.%4.%5.%6.%7.%8.%9"/>
      <w:lvlJc w:val="left"/>
      <w:pPr>
        <w:ind w:left="3852" w:hanging="1584"/>
      </w:pPr>
    </w:lvl>
  </w:abstractNum>
  <w:abstractNum w:abstractNumId="7" w15:restartNumberingAfterBreak="0">
    <w:nsid w:val="1CDD7F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2112E7"/>
    <w:multiLevelType w:val="hybridMultilevel"/>
    <w:tmpl w:val="4C40C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473BEE"/>
    <w:multiLevelType w:val="singleLevel"/>
    <w:tmpl w:val="726AE7BE"/>
    <w:lvl w:ilvl="0">
      <w:start w:val="2"/>
      <w:numFmt w:val="decimal"/>
      <w:lvlText w:val="(%1)"/>
      <w:legacy w:legacy="1" w:legacySpace="0" w:legacyIndent="360"/>
      <w:lvlJc w:val="left"/>
      <w:rPr>
        <w:rFonts w:ascii="Times New Roman" w:hAnsi="Times New Roman" w:cs="Times New Roman" w:hint="default"/>
        <w:b/>
      </w:rPr>
    </w:lvl>
  </w:abstractNum>
  <w:abstractNum w:abstractNumId="10" w15:restartNumberingAfterBreak="0">
    <w:nsid w:val="1EAB3934"/>
    <w:multiLevelType w:val="hybridMultilevel"/>
    <w:tmpl w:val="1AAA5508"/>
    <w:lvl w:ilvl="0" w:tplc="EDE60FE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29A3055D"/>
    <w:multiLevelType w:val="hybridMultilevel"/>
    <w:tmpl w:val="DDC0B5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CFF5B6A"/>
    <w:multiLevelType w:val="hybridMultilevel"/>
    <w:tmpl w:val="DC0E9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E34EA0"/>
    <w:multiLevelType w:val="hybridMultilevel"/>
    <w:tmpl w:val="4B72E7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00D0CD9"/>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30417ACA"/>
    <w:multiLevelType w:val="hybridMultilevel"/>
    <w:tmpl w:val="CAEC70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0CF41D2"/>
    <w:multiLevelType w:val="hybridMultilevel"/>
    <w:tmpl w:val="0AA4772C"/>
    <w:lvl w:ilvl="0" w:tplc="0F6ABCF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1536A87"/>
    <w:multiLevelType w:val="hybridMultilevel"/>
    <w:tmpl w:val="351E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D373B8"/>
    <w:multiLevelType w:val="multilevel"/>
    <w:tmpl w:val="1F927C80"/>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2DD7A87"/>
    <w:multiLevelType w:val="hybridMultilevel"/>
    <w:tmpl w:val="D0029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21" w15:restartNumberingAfterBreak="0">
    <w:nsid w:val="37777F93"/>
    <w:multiLevelType w:val="hybridMultilevel"/>
    <w:tmpl w:val="B2BC59D8"/>
    <w:lvl w:ilvl="0" w:tplc="365CE8C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2" w15:restartNumberingAfterBreak="0">
    <w:nsid w:val="3DFC2702"/>
    <w:multiLevelType w:val="hybridMultilevel"/>
    <w:tmpl w:val="252096BA"/>
    <w:lvl w:ilvl="0" w:tplc="3AC4E5E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3" w15:restartNumberingAfterBreak="0">
    <w:nsid w:val="41285AEA"/>
    <w:multiLevelType w:val="hybridMultilevel"/>
    <w:tmpl w:val="13BC8592"/>
    <w:lvl w:ilvl="0" w:tplc="300E19A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86624C6"/>
    <w:multiLevelType w:val="hybridMultilevel"/>
    <w:tmpl w:val="3AF4F9EC"/>
    <w:lvl w:ilvl="0" w:tplc="684C816A">
      <w:start w:val="1"/>
      <w:numFmt w:val="upperRoman"/>
      <w:lvlText w:val="%1."/>
      <w:lvlJc w:val="right"/>
      <w:pPr>
        <w:ind w:left="1440" w:hanging="360"/>
      </w:pPr>
      <w:rPr>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5" w15:restartNumberingAfterBreak="0">
    <w:nsid w:val="48AA633C"/>
    <w:multiLevelType w:val="hybridMultilevel"/>
    <w:tmpl w:val="A6C6A600"/>
    <w:lvl w:ilvl="0" w:tplc="300E19A6">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4B3617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7121BE"/>
    <w:multiLevelType w:val="hybridMultilevel"/>
    <w:tmpl w:val="BA5AA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5726DB"/>
    <w:multiLevelType w:val="singleLevel"/>
    <w:tmpl w:val="01F0A28E"/>
    <w:lvl w:ilvl="0">
      <w:start w:val="1"/>
      <w:numFmt w:val="decimal"/>
      <w:lvlText w:val="%1."/>
      <w:legacy w:legacy="1" w:legacySpace="0" w:legacyIndent="355"/>
      <w:lvlJc w:val="left"/>
      <w:rPr>
        <w:rFonts w:ascii="Times New Roman" w:hAnsi="Times New Roman" w:cs="Times New Roman" w:hint="default"/>
      </w:rPr>
    </w:lvl>
  </w:abstractNum>
  <w:abstractNum w:abstractNumId="29" w15:restartNumberingAfterBreak="0">
    <w:nsid w:val="4E746EA1"/>
    <w:multiLevelType w:val="hybridMultilevel"/>
    <w:tmpl w:val="B3D20E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C925F4"/>
    <w:multiLevelType w:val="hybridMultilevel"/>
    <w:tmpl w:val="E478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B41F47"/>
    <w:multiLevelType w:val="singleLevel"/>
    <w:tmpl w:val="4EA2045A"/>
    <w:lvl w:ilvl="0">
      <w:start w:val="2"/>
      <w:numFmt w:val="decimal"/>
      <w:lvlText w:val="(%1)"/>
      <w:legacy w:legacy="1" w:legacySpace="0" w:legacyIndent="355"/>
      <w:lvlJc w:val="left"/>
      <w:rPr>
        <w:rFonts w:ascii="Times New Roman" w:hAnsi="Times New Roman" w:cs="Times New Roman" w:hint="default"/>
        <w:b/>
      </w:rPr>
    </w:lvl>
  </w:abstractNum>
  <w:abstractNum w:abstractNumId="32" w15:restartNumberingAfterBreak="0">
    <w:nsid w:val="53FD4D3E"/>
    <w:multiLevelType w:val="hybridMultilevel"/>
    <w:tmpl w:val="07FEF246"/>
    <w:lvl w:ilvl="0" w:tplc="0DE44A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550A2330"/>
    <w:multiLevelType w:val="hybridMultilevel"/>
    <w:tmpl w:val="EE48F554"/>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5F13E32"/>
    <w:multiLevelType w:val="hybridMultilevel"/>
    <w:tmpl w:val="09D241FE"/>
    <w:lvl w:ilvl="0" w:tplc="8F38E68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5" w15:restartNumberingAfterBreak="0">
    <w:nsid w:val="5D711159"/>
    <w:multiLevelType w:val="hybridMultilevel"/>
    <w:tmpl w:val="5D9EE7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E484B96"/>
    <w:multiLevelType w:val="hybridMultilevel"/>
    <w:tmpl w:val="23108B5C"/>
    <w:lvl w:ilvl="0" w:tplc="12884088">
      <w:start w:val="1"/>
      <w:numFmt w:val="decimal"/>
      <w:lvlText w:val="Секция %1."/>
      <w:lvlJc w:val="left"/>
      <w:pPr>
        <w:tabs>
          <w:tab w:val="num" w:pos="720"/>
        </w:tabs>
        <w:ind w:left="1588" w:hanging="1228"/>
      </w:pPr>
      <w:rPr>
        <w:rFonts w:hint="default"/>
        <w:b/>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8363CDE"/>
    <w:multiLevelType w:val="multilevel"/>
    <w:tmpl w:val="238AD5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8606771"/>
    <w:multiLevelType w:val="hybridMultilevel"/>
    <w:tmpl w:val="0B8A27D2"/>
    <w:lvl w:ilvl="0" w:tplc="D65652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CEB5566"/>
    <w:multiLevelType w:val="hybridMultilevel"/>
    <w:tmpl w:val="66EAB8B6"/>
    <w:lvl w:ilvl="0" w:tplc="16180BBC">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0" w15:restartNumberingAfterBreak="0">
    <w:nsid w:val="6D04700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3FC53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7362AA9"/>
    <w:multiLevelType w:val="hybridMultilevel"/>
    <w:tmpl w:val="7D5A87C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3" w15:restartNumberingAfterBreak="0">
    <w:nsid w:val="7A5146D7"/>
    <w:multiLevelType w:val="hybridMultilevel"/>
    <w:tmpl w:val="DAF4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040D28"/>
    <w:multiLevelType w:val="hybridMultilevel"/>
    <w:tmpl w:val="C49E5976"/>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8"/>
  </w:num>
  <w:num w:numId="2">
    <w:abstractNumId w:val="6"/>
  </w:num>
  <w:num w:numId="3">
    <w:abstractNumId w:val="40"/>
  </w:num>
  <w:num w:numId="4">
    <w:abstractNumId w:val="8"/>
  </w:num>
  <w:num w:numId="5">
    <w:abstractNumId w:val="12"/>
  </w:num>
  <w:num w:numId="6">
    <w:abstractNumId w:val="27"/>
  </w:num>
  <w:num w:numId="7">
    <w:abstractNumId w:val="41"/>
  </w:num>
  <w:num w:numId="8">
    <w:abstractNumId w:val="19"/>
  </w:num>
  <w:num w:numId="9">
    <w:abstractNumId w:val="43"/>
  </w:num>
  <w:num w:numId="10">
    <w:abstractNumId w:val="30"/>
  </w:num>
  <w:num w:numId="11">
    <w:abstractNumId w:val="36"/>
  </w:num>
  <w:num w:numId="12">
    <w:abstractNumId w:val="15"/>
  </w:num>
  <w:num w:numId="13">
    <w:abstractNumId w:val="5"/>
  </w:num>
  <w:num w:numId="14">
    <w:abstractNumId w:val="20"/>
  </w:num>
  <w:num w:numId="15">
    <w:abstractNumId w:val="42"/>
  </w:num>
  <w:num w:numId="16">
    <w:abstractNumId w:val="13"/>
  </w:num>
  <w:num w:numId="17">
    <w:abstractNumId w:val="2"/>
  </w:num>
  <w:num w:numId="18">
    <w:abstractNumId w:val="1"/>
  </w:num>
  <w:num w:numId="19">
    <w:abstractNumId w:val="35"/>
  </w:num>
  <w:num w:numId="20">
    <w:abstractNumId w:val="7"/>
  </w:num>
  <w:num w:numId="21">
    <w:abstractNumId w:val="26"/>
  </w:num>
  <w:num w:numId="22">
    <w:abstractNumId w:val="14"/>
  </w:num>
  <w:num w:numId="23">
    <w:abstractNumId w:val="11"/>
  </w:num>
  <w:num w:numId="24">
    <w:abstractNumId w:val="4"/>
  </w:num>
  <w:num w:numId="25">
    <w:abstractNumId w:val="6"/>
  </w:num>
  <w:num w:numId="26">
    <w:abstractNumId w:val="32"/>
  </w:num>
  <w:num w:numId="27">
    <w:abstractNumId w:val="37"/>
  </w:num>
  <w:num w:numId="28">
    <w:abstractNumId w:val="33"/>
  </w:num>
  <w:num w:numId="29">
    <w:abstractNumId w:val="16"/>
  </w:num>
  <w:num w:numId="30">
    <w:abstractNumId w:val="10"/>
  </w:num>
  <w:num w:numId="31">
    <w:abstractNumId w:val="38"/>
  </w:num>
  <w:num w:numId="32">
    <w:abstractNumId w:val="23"/>
  </w:num>
  <w:num w:numId="33">
    <w:abstractNumId w:val="31"/>
    <w:lvlOverride w:ilvl="0">
      <w:startOverride w:val="2"/>
    </w:lvlOverride>
  </w:num>
  <w:num w:numId="34">
    <w:abstractNumId w:val="9"/>
    <w:lvlOverride w:ilvl="0">
      <w:startOverride w:val="2"/>
    </w:lvlOverride>
  </w:num>
  <w:num w:numId="35">
    <w:abstractNumId w:val="17"/>
  </w:num>
  <w:num w:numId="36">
    <w:abstractNumId w:val="28"/>
  </w:num>
  <w:num w:numId="37">
    <w:abstractNumId w:val="29"/>
  </w:num>
  <w:num w:numId="38">
    <w:abstractNumId w:val="3"/>
  </w:num>
  <w:num w:numId="39">
    <w:abstractNumId w:val="22"/>
  </w:num>
  <w:num w:numId="40">
    <w:abstractNumId w:val="25"/>
  </w:num>
  <w:num w:numId="41">
    <w:abstractNumId w:val="34"/>
  </w:num>
  <w:num w:numId="42">
    <w:abstractNumId w:val="24"/>
  </w:num>
  <w:num w:numId="43">
    <w:abstractNumId w:val="39"/>
  </w:num>
  <w:num w:numId="44">
    <w:abstractNumId w:val="21"/>
  </w:num>
  <w:num w:numId="45">
    <w:abstractNumId w:val="0"/>
  </w:num>
  <w:num w:numId="46">
    <w:abstractNumId w:val="4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2F"/>
    <w:rsid w:val="000023F7"/>
    <w:rsid w:val="00006115"/>
    <w:rsid w:val="000235C9"/>
    <w:rsid w:val="00023825"/>
    <w:rsid w:val="00026E54"/>
    <w:rsid w:val="00031C8E"/>
    <w:rsid w:val="00033A90"/>
    <w:rsid w:val="000340DA"/>
    <w:rsid w:val="00034C91"/>
    <w:rsid w:val="00036E6D"/>
    <w:rsid w:val="000503A7"/>
    <w:rsid w:val="000567AE"/>
    <w:rsid w:val="000572F1"/>
    <w:rsid w:val="00060137"/>
    <w:rsid w:val="0006324D"/>
    <w:rsid w:val="00063961"/>
    <w:rsid w:val="00064D52"/>
    <w:rsid w:val="00065293"/>
    <w:rsid w:val="00067826"/>
    <w:rsid w:val="00070425"/>
    <w:rsid w:val="000713E4"/>
    <w:rsid w:val="00071AB4"/>
    <w:rsid w:val="00072117"/>
    <w:rsid w:val="00072645"/>
    <w:rsid w:val="00075ED6"/>
    <w:rsid w:val="000774E0"/>
    <w:rsid w:val="000904BA"/>
    <w:rsid w:val="00090CDF"/>
    <w:rsid w:val="00091CE2"/>
    <w:rsid w:val="0009336F"/>
    <w:rsid w:val="000A21FF"/>
    <w:rsid w:val="000A2A01"/>
    <w:rsid w:val="000A3D1A"/>
    <w:rsid w:val="000A3D6A"/>
    <w:rsid w:val="000B193F"/>
    <w:rsid w:val="000B1E21"/>
    <w:rsid w:val="000B202B"/>
    <w:rsid w:val="000B3B6D"/>
    <w:rsid w:val="000B6C8F"/>
    <w:rsid w:val="000C02AA"/>
    <w:rsid w:val="000C09CB"/>
    <w:rsid w:val="000C0C57"/>
    <w:rsid w:val="000C7914"/>
    <w:rsid w:val="000C7F38"/>
    <w:rsid w:val="000D0008"/>
    <w:rsid w:val="000D39D0"/>
    <w:rsid w:val="000D76D0"/>
    <w:rsid w:val="000E08E7"/>
    <w:rsid w:val="000E46FC"/>
    <w:rsid w:val="000F6CF1"/>
    <w:rsid w:val="000F7F0B"/>
    <w:rsid w:val="0010055D"/>
    <w:rsid w:val="00101120"/>
    <w:rsid w:val="001065EE"/>
    <w:rsid w:val="001071B7"/>
    <w:rsid w:val="00107FFB"/>
    <w:rsid w:val="00111286"/>
    <w:rsid w:val="001131EF"/>
    <w:rsid w:val="00113A89"/>
    <w:rsid w:val="00116205"/>
    <w:rsid w:val="00116767"/>
    <w:rsid w:val="00127BEA"/>
    <w:rsid w:val="00134EFF"/>
    <w:rsid w:val="001442AB"/>
    <w:rsid w:val="00154F6E"/>
    <w:rsid w:val="00156EFE"/>
    <w:rsid w:val="001610EA"/>
    <w:rsid w:val="0016132B"/>
    <w:rsid w:val="001651E4"/>
    <w:rsid w:val="001755D7"/>
    <w:rsid w:val="00177386"/>
    <w:rsid w:val="0018240C"/>
    <w:rsid w:val="00187A7E"/>
    <w:rsid w:val="00187C79"/>
    <w:rsid w:val="00190642"/>
    <w:rsid w:val="0019302B"/>
    <w:rsid w:val="0019341B"/>
    <w:rsid w:val="001936D3"/>
    <w:rsid w:val="001940DC"/>
    <w:rsid w:val="00195BC7"/>
    <w:rsid w:val="0019640E"/>
    <w:rsid w:val="001A0E6B"/>
    <w:rsid w:val="001A2C5D"/>
    <w:rsid w:val="001A3642"/>
    <w:rsid w:val="001A5E43"/>
    <w:rsid w:val="001A7EA7"/>
    <w:rsid w:val="001B0852"/>
    <w:rsid w:val="001B1A35"/>
    <w:rsid w:val="001C0564"/>
    <w:rsid w:val="001C0ECE"/>
    <w:rsid w:val="001C22AF"/>
    <w:rsid w:val="001C238B"/>
    <w:rsid w:val="001C31CD"/>
    <w:rsid w:val="001D3C12"/>
    <w:rsid w:val="001D76EB"/>
    <w:rsid w:val="001E4EAB"/>
    <w:rsid w:val="001E7E1E"/>
    <w:rsid w:val="001F5AC2"/>
    <w:rsid w:val="002068CD"/>
    <w:rsid w:val="00206A11"/>
    <w:rsid w:val="00210DB3"/>
    <w:rsid w:val="00212DB2"/>
    <w:rsid w:val="00214549"/>
    <w:rsid w:val="00215C21"/>
    <w:rsid w:val="002170E6"/>
    <w:rsid w:val="0022123B"/>
    <w:rsid w:val="00223460"/>
    <w:rsid w:val="00230A42"/>
    <w:rsid w:val="00233668"/>
    <w:rsid w:val="00234014"/>
    <w:rsid w:val="00234AA1"/>
    <w:rsid w:val="00236BBA"/>
    <w:rsid w:val="0023760F"/>
    <w:rsid w:val="00240613"/>
    <w:rsid w:val="00245F4F"/>
    <w:rsid w:val="0024650E"/>
    <w:rsid w:val="002512E7"/>
    <w:rsid w:val="002526DD"/>
    <w:rsid w:val="00252761"/>
    <w:rsid w:val="002600F0"/>
    <w:rsid w:val="00261705"/>
    <w:rsid w:val="00267FAF"/>
    <w:rsid w:val="00271152"/>
    <w:rsid w:val="0027338A"/>
    <w:rsid w:val="0027427D"/>
    <w:rsid w:val="00275A25"/>
    <w:rsid w:val="002765EA"/>
    <w:rsid w:val="00280FF8"/>
    <w:rsid w:val="002813A9"/>
    <w:rsid w:val="002826DD"/>
    <w:rsid w:val="0029692F"/>
    <w:rsid w:val="002A6EB6"/>
    <w:rsid w:val="002A754D"/>
    <w:rsid w:val="002B07FB"/>
    <w:rsid w:val="002B1CB7"/>
    <w:rsid w:val="002C466B"/>
    <w:rsid w:val="002C5129"/>
    <w:rsid w:val="002C6207"/>
    <w:rsid w:val="002D2024"/>
    <w:rsid w:val="002D2701"/>
    <w:rsid w:val="002D2A0F"/>
    <w:rsid w:val="002D4079"/>
    <w:rsid w:val="002D713F"/>
    <w:rsid w:val="002E0D0E"/>
    <w:rsid w:val="002E4EB2"/>
    <w:rsid w:val="002E5DE8"/>
    <w:rsid w:val="003004B2"/>
    <w:rsid w:val="00301235"/>
    <w:rsid w:val="0030153B"/>
    <w:rsid w:val="00305373"/>
    <w:rsid w:val="00312D66"/>
    <w:rsid w:val="0031388E"/>
    <w:rsid w:val="00316EF4"/>
    <w:rsid w:val="00320DBC"/>
    <w:rsid w:val="0032282C"/>
    <w:rsid w:val="00323A12"/>
    <w:rsid w:val="003241EF"/>
    <w:rsid w:val="00330C62"/>
    <w:rsid w:val="00331DAE"/>
    <w:rsid w:val="00342C76"/>
    <w:rsid w:val="0034479C"/>
    <w:rsid w:val="003453E9"/>
    <w:rsid w:val="00345919"/>
    <w:rsid w:val="00346930"/>
    <w:rsid w:val="00360493"/>
    <w:rsid w:val="00361C44"/>
    <w:rsid w:val="003625F2"/>
    <w:rsid w:val="00362940"/>
    <w:rsid w:val="003633BA"/>
    <w:rsid w:val="0036655C"/>
    <w:rsid w:val="00366CD7"/>
    <w:rsid w:val="00372729"/>
    <w:rsid w:val="0037700E"/>
    <w:rsid w:val="00377099"/>
    <w:rsid w:val="003860A6"/>
    <w:rsid w:val="0039193B"/>
    <w:rsid w:val="0039470E"/>
    <w:rsid w:val="003A0A02"/>
    <w:rsid w:val="003A0D2F"/>
    <w:rsid w:val="003A7CFD"/>
    <w:rsid w:val="003C6F88"/>
    <w:rsid w:val="003C7447"/>
    <w:rsid w:val="003C7F5F"/>
    <w:rsid w:val="003D0B0E"/>
    <w:rsid w:val="003D0B77"/>
    <w:rsid w:val="003E458C"/>
    <w:rsid w:val="003E6380"/>
    <w:rsid w:val="003E6414"/>
    <w:rsid w:val="003E7A16"/>
    <w:rsid w:val="003F06DD"/>
    <w:rsid w:val="003F0CBE"/>
    <w:rsid w:val="003F198E"/>
    <w:rsid w:val="003F36A4"/>
    <w:rsid w:val="003F50A6"/>
    <w:rsid w:val="003F5B95"/>
    <w:rsid w:val="003F76D9"/>
    <w:rsid w:val="00403AE9"/>
    <w:rsid w:val="0040442B"/>
    <w:rsid w:val="00406812"/>
    <w:rsid w:val="004069B0"/>
    <w:rsid w:val="004118C6"/>
    <w:rsid w:val="004132AF"/>
    <w:rsid w:val="00423DA2"/>
    <w:rsid w:val="00424A8E"/>
    <w:rsid w:val="00426FA1"/>
    <w:rsid w:val="0042725D"/>
    <w:rsid w:val="00431728"/>
    <w:rsid w:val="00432C30"/>
    <w:rsid w:val="00434853"/>
    <w:rsid w:val="004526BD"/>
    <w:rsid w:val="00454995"/>
    <w:rsid w:val="00455521"/>
    <w:rsid w:val="00456961"/>
    <w:rsid w:val="004574FC"/>
    <w:rsid w:val="00463081"/>
    <w:rsid w:val="00463D68"/>
    <w:rsid w:val="00472A14"/>
    <w:rsid w:val="00473DC1"/>
    <w:rsid w:val="0048350B"/>
    <w:rsid w:val="00490121"/>
    <w:rsid w:val="004918C1"/>
    <w:rsid w:val="00491CCC"/>
    <w:rsid w:val="0049423B"/>
    <w:rsid w:val="00496D01"/>
    <w:rsid w:val="004A1604"/>
    <w:rsid w:val="004A1CA1"/>
    <w:rsid w:val="004A2181"/>
    <w:rsid w:val="004A2309"/>
    <w:rsid w:val="004A2E30"/>
    <w:rsid w:val="004A4915"/>
    <w:rsid w:val="004B3249"/>
    <w:rsid w:val="004B4EFA"/>
    <w:rsid w:val="004C18C4"/>
    <w:rsid w:val="004C1E31"/>
    <w:rsid w:val="004D3D65"/>
    <w:rsid w:val="004D4195"/>
    <w:rsid w:val="004D4848"/>
    <w:rsid w:val="004D6222"/>
    <w:rsid w:val="004E1251"/>
    <w:rsid w:val="004E1DA8"/>
    <w:rsid w:val="004F0B1D"/>
    <w:rsid w:val="004F61E8"/>
    <w:rsid w:val="00501D29"/>
    <w:rsid w:val="005032C2"/>
    <w:rsid w:val="00503B77"/>
    <w:rsid w:val="00503FB8"/>
    <w:rsid w:val="005104F2"/>
    <w:rsid w:val="00510885"/>
    <w:rsid w:val="00510C81"/>
    <w:rsid w:val="00511184"/>
    <w:rsid w:val="0051465A"/>
    <w:rsid w:val="00514B65"/>
    <w:rsid w:val="00514D57"/>
    <w:rsid w:val="00520B6C"/>
    <w:rsid w:val="0052108F"/>
    <w:rsid w:val="00522BBD"/>
    <w:rsid w:val="00526B13"/>
    <w:rsid w:val="00526EA0"/>
    <w:rsid w:val="00541836"/>
    <w:rsid w:val="005426F1"/>
    <w:rsid w:val="005442D4"/>
    <w:rsid w:val="00545362"/>
    <w:rsid w:val="00546D63"/>
    <w:rsid w:val="00553490"/>
    <w:rsid w:val="00561FDE"/>
    <w:rsid w:val="005647C8"/>
    <w:rsid w:val="005658AB"/>
    <w:rsid w:val="005709FA"/>
    <w:rsid w:val="0058071A"/>
    <w:rsid w:val="00580ABB"/>
    <w:rsid w:val="005831EE"/>
    <w:rsid w:val="00584B1B"/>
    <w:rsid w:val="00590D8C"/>
    <w:rsid w:val="005931B1"/>
    <w:rsid w:val="005947B6"/>
    <w:rsid w:val="00596447"/>
    <w:rsid w:val="005A55F1"/>
    <w:rsid w:val="005A710F"/>
    <w:rsid w:val="005B6466"/>
    <w:rsid w:val="005C0870"/>
    <w:rsid w:val="005D360A"/>
    <w:rsid w:val="005D49AD"/>
    <w:rsid w:val="005E559F"/>
    <w:rsid w:val="005E6B74"/>
    <w:rsid w:val="005F2A95"/>
    <w:rsid w:val="005F4E35"/>
    <w:rsid w:val="00601323"/>
    <w:rsid w:val="00602A10"/>
    <w:rsid w:val="00612856"/>
    <w:rsid w:val="006139C5"/>
    <w:rsid w:val="0061563C"/>
    <w:rsid w:val="00621307"/>
    <w:rsid w:val="0063051F"/>
    <w:rsid w:val="00636CFA"/>
    <w:rsid w:val="00642DA7"/>
    <w:rsid w:val="00646F9B"/>
    <w:rsid w:val="006553E4"/>
    <w:rsid w:val="00662E60"/>
    <w:rsid w:val="00665491"/>
    <w:rsid w:val="00671A74"/>
    <w:rsid w:val="00683F7E"/>
    <w:rsid w:val="006846F4"/>
    <w:rsid w:val="00687ABD"/>
    <w:rsid w:val="006A0246"/>
    <w:rsid w:val="006A134A"/>
    <w:rsid w:val="006A21B3"/>
    <w:rsid w:val="006A6422"/>
    <w:rsid w:val="006B14FA"/>
    <w:rsid w:val="006B3598"/>
    <w:rsid w:val="006B5BA0"/>
    <w:rsid w:val="006C6808"/>
    <w:rsid w:val="006D2383"/>
    <w:rsid w:val="006E4C6A"/>
    <w:rsid w:val="006F1B2F"/>
    <w:rsid w:val="006F368A"/>
    <w:rsid w:val="006F7C57"/>
    <w:rsid w:val="00701D1E"/>
    <w:rsid w:val="007022E3"/>
    <w:rsid w:val="00720828"/>
    <w:rsid w:val="00724C7A"/>
    <w:rsid w:val="00726FF4"/>
    <w:rsid w:val="00730437"/>
    <w:rsid w:val="00731BD1"/>
    <w:rsid w:val="00736350"/>
    <w:rsid w:val="0074118A"/>
    <w:rsid w:val="007430BC"/>
    <w:rsid w:val="00750AB4"/>
    <w:rsid w:val="007547C5"/>
    <w:rsid w:val="00755BBE"/>
    <w:rsid w:val="00756946"/>
    <w:rsid w:val="007645C5"/>
    <w:rsid w:val="00766588"/>
    <w:rsid w:val="00770BFD"/>
    <w:rsid w:val="00772B25"/>
    <w:rsid w:val="00776F10"/>
    <w:rsid w:val="0078001C"/>
    <w:rsid w:val="00780CE5"/>
    <w:rsid w:val="007854FB"/>
    <w:rsid w:val="00791DC9"/>
    <w:rsid w:val="007A3D54"/>
    <w:rsid w:val="007B064F"/>
    <w:rsid w:val="007B6610"/>
    <w:rsid w:val="007C3EBF"/>
    <w:rsid w:val="007C6538"/>
    <w:rsid w:val="007D76EC"/>
    <w:rsid w:val="007E03E9"/>
    <w:rsid w:val="007E1849"/>
    <w:rsid w:val="007E2D27"/>
    <w:rsid w:val="007E3C3E"/>
    <w:rsid w:val="007E5CC0"/>
    <w:rsid w:val="007E7CCB"/>
    <w:rsid w:val="007F1D17"/>
    <w:rsid w:val="007F45CB"/>
    <w:rsid w:val="00800247"/>
    <w:rsid w:val="00802BA7"/>
    <w:rsid w:val="00811D3E"/>
    <w:rsid w:val="00814A25"/>
    <w:rsid w:val="00815B80"/>
    <w:rsid w:val="00826254"/>
    <w:rsid w:val="00831A04"/>
    <w:rsid w:val="00845BCC"/>
    <w:rsid w:val="00851331"/>
    <w:rsid w:val="00853AFF"/>
    <w:rsid w:val="008612A7"/>
    <w:rsid w:val="008655E2"/>
    <w:rsid w:val="008679E7"/>
    <w:rsid w:val="00867A80"/>
    <w:rsid w:val="00867EE2"/>
    <w:rsid w:val="00871CC7"/>
    <w:rsid w:val="0087523C"/>
    <w:rsid w:val="008801D2"/>
    <w:rsid w:val="00880CCD"/>
    <w:rsid w:val="00890FE7"/>
    <w:rsid w:val="00892DCA"/>
    <w:rsid w:val="00894652"/>
    <w:rsid w:val="008966F0"/>
    <w:rsid w:val="00897534"/>
    <w:rsid w:val="00897611"/>
    <w:rsid w:val="008A69EF"/>
    <w:rsid w:val="008A71C3"/>
    <w:rsid w:val="008B1E73"/>
    <w:rsid w:val="008B369F"/>
    <w:rsid w:val="008C2025"/>
    <w:rsid w:val="008C419E"/>
    <w:rsid w:val="008C5D2F"/>
    <w:rsid w:val="008C5DA3"/>
    <w:rsid w:val="008C685A"/>
    <w:rsid w:val="008C6EB3"/>
    <w:rsid w:val="008C7737"/>
    <w:rsid w:val="008D43E7"/>
    <w:rsid w:val="008E1E55"/>
    <w:rsid w:val="008F2028"/>
    <w:rsid w:val="008F4229"/>
    <w:rsid w:val="009008F0"/>
    <w:rsid w:val="009118E6"/>
    <w:rsid w:val="0091374A"/>
    <w:rsid w:val="00915476"/>
    <w:rsid w:val="00916785"/>
    <w:rsid w:val="00921DED"/>
    <w:rsid w:val="00922A96"/>
    <w:rsid w:val="009253C5"/>
    <w:rsid w:val="0093337A"/>
    <w:rsid w:val="0093394C"/>
    <w:rsid w:val="00935929"/>
    <w:rsid w:val="0093666C"/>
    <w:rsid w:val="009509DF"/>
    <w:rsid w:val="009545B4"/>
    <w:rsid w:val="0095479D"/>
    <w:rsid w:val="00964E61"/>
    <w:rsid w:val="00965CFD"/>
    <w:rsid w:val="0097052F"/>
    <w:rsid w:val="00970801"/>
    <w:rsid w:val="0097163D"/>
    <w:rsid w:val="0097516C"/>
    <w:rsid w:val="00975E74"/>
    <w:rsid w:val="00976BFB"/>
    <w:rsid w:val="00982628"/>
    <w:rsid w:val="0098534B"/>
    <w:rsid w:val="0098763C"/>
    <w:rsid w:val="00990FA6"/>
    <w:rsid w:val="00993012"/>
    <w:rsid w:val="00993913"/>
    <w:rsid w:val="009941FA"/>
    <w:rsid w:val="00995F71"/>
    <w:rsid w:val="0099717E"/>
    <w:rsid w:val="009A22DF"/>
    <w:rsid w:val="009A3616"/>
    <w:rsid w:val="009B0975"/>
    <w:rsid w:val="009B0CD7"/>
    <w:rsid w:val="009B4898"/>
    <w:rsid w:val="009B4B84"/>
    <w:rsid w:val="009B5830"/>
    <w:rsid w:val="009B6A0A"/>
    <w:rsid w:val="009C20C7"/>
    <w:rsid w:val="009C2DD0"/>
    <w:rsid w:val="009C4C47"/>
    <w:rsid w:val="009D4412"/>
    <w:rsid w:val="009E0713"/>
    <w:rsid w:val="009E3531"/>
    <w:rsid w:val="009E4088"/>
    <w:rsid w:val="009F0AA4"/>
    <w:rsid w:val="009F77C9"/>
    <w:rsid w:val="009F7C66"/>
    <w:rsid w:val="009F7F2E"/>
    <w:rsid w:val="00A012C9"/>
    <w:rsid w:val="00A04983"/>
    <w:rsid w:val="00A36EF7"/>
    <w:rsid w:val="00A421EC"/>
    <w:rsid w:val="00A432E0"/>
    <w:rsid w:val="00A47010"/>
    <w:rsid w:val="00A521AC"/>
    <w:rsid w:val="00A52D71"/>
    <w:rsid w:val="00A604CD"/>
    <w:rsid w:val="00A660E1"/>
    <w:rsid w:val="00A717C8"/>
    <w:rsid w:val="00A82437"/>
    <w:rsid w:val="00A85DA9"/>
    <w:rsid w:val="00A8635C"/>
    <w:rsid w:val="00A87780"/>
    <w:rsid w:val="00A87EF2"/>
    <w:rsid w:val="00AA1630"/>
    <w:rsid w:val="00AB0065"/>
    <w:rsid w:val="00AB65B6"/>
    <w:rsid w:val="00AB66FB"/>
    <w:rsid w:val="00AB7FEE"/>
    <w:rsid w:val="00AD0165"/>
    <w:rsid w:val="00AD1964"/>
    <w:rsid w:val="00AD7762"/>
    <w:rsid w:val="00AE237C"/>
    <w:rsid w:val="00AE6B2A"/>
    <w:rsid w:val="00AF574D"/>
    <w:rsid w:val="00AF648E"/>
    <w:rsid w:val="00B011AC"/>
    <w:rsid w:val="00B07638"/>
    <w:rsid w:val="00B11105"/>
    <w:rsid w:val="00B15A1F"/>
    <w:rsid w:val="00B2339D"/>
    <w:rsid w:val="00B252F6"/>
    <w:rsid w:val="00B2566D"/>
    <w:rsid w:val="00B3036A"/>
    <w:rsid w:val="00B33828"/>
    <w:rsid w:val="00B33D03"/>
    <w:rsid w:val="00B343CC"/>
    <w:rsid w:val="00B3520B"/>
    <w:rsid w:val="00B41260"/>
    <w:rsid w:val="00B418AF"/>
    <w:rsid w:val="00B63457"/>
    <w:rsid w:val="00B6445D"/>
    <w:rsid w:val="00B648C0"/>
    <w:rsid w:val="00B64BCA"/>
    <w:rsid w:val="00B65128"/>
    <w:rsid w:val="00B66B5C"/>
    <w:rsid w:val="00B7012E"/>
    <w:rsid w:val="00B71F5C"/>
    <w:rsid w:val="00B774FC"/>
    <w:rsid w:val="00B77BEE"/>
    <w:rsid w:val="00B852C1"/>
    <w:rsid w:val="00B8580C"/>
    <w:rsid w:val="00B933A4"/>
    <w:rsid w:val="00B97640"/>
    <w:rsid w:val="00B97A89"/>
    <w:rsid w:val="00BA0B6A"/>
    <w:rsid w:val="00BA1919"/>
    <w:rsid w:val="00BA398F"/>
    <w:rsid w:val="00BA4493"/>
    <w:rsid w:val="00BA5DF6"/>
    <w:rsid w:val="00BB0589"/>
    <w:rsid w:val="00BB1039"/>
    <w:rsid w:val="00BB3E8E"/>
    <w:rsid w:val="00BB4E01"/>
    <w:rsid w:val="00BC05CF"/>
    <w:rsid w:val="00BC3ADB"/>
    <w:rsid w:val="00BC563B"/>
    <w:rsid w:val="00BD6BC9"/>
    <w:rsid w:val="00BE1A32"/>
    <w:rsid w:val="00BF196F"/>
    <w:rsid w:val="00BF2993"/>
    <w:rsid w:val="00BF41BF"/>
    <w:rsid w:val="00BF42AC"/>
    <w:rsid w:val="00BF6449"/>
    <w:rsid w:val="00BF7967"/>
    <w:rsid w:val="00BF7A79"/>
    <w:rsid w:val="00C012E8"/>
    <w:rsid w:val="00C0165C"/>
    <w:rsid w:val="00C050FE"/>
    <w:rsid w:val="00C053F6"/>
    <w:rsid w:val="00C11540"/>
    <w:rsid w:val="00C13552"/>
    <w:rsid w:val="00C1777D"/>
    <w:rsid w:val="00C202EB"/>
    <w:rsid w:val="00C21D1D"/>
    <w:rsid w:val="00C23653"/>
    <w:rsid w:val="00C31E9C"/>
    <w:rsid w:val="00C34CAE"/>
    <w:rsid w:val="00C36C78"/>
    <w:rsid w:val="00C41320"/>
    <w:rsid w:val="00C42B81"/>
    <w:rsid w:val="00C45E40"/>
    <w:rsid w:val="00C46508"/>
    <w:rsid w:val="00C5761A"/>
    <w:rsid w:val="00C64234"/>
    <w:rsid w:val="00C66A6C"/>
    <w:rsid w:val="00C70CCA"/>
    <w:rsid w:val="00C70E4D"/>
    <w:rsid w:val="00C77AF7"/>
    <w:rsid w:val="00C832AC"/>
    <w:rsid w:val="00C83482"/>
    <w:rsid w:val="00C91F20"/>
    <w:rsid w:val="00C9219B"/>
    <w:rsid w:val="00C922B3"/>
    <w:rsid w:val="00C93F6B"/>
    <w:rsid w:val="00C94B41"/>
    <w:rsid w:val="00CA1D0D"/>
    <w:rsid w:val="00CA40A7"/>
    <w:rsid w:val="00CA469C"/>
    <w:rsid w:val="00CA5360"/>
    <w:rsid w:val="00CB0B83"/>
    <w:rsid w:val="00CB28E5"/>
    <w:rsid w:val="00CB2B93"/>
    <w:rsid w:val="00CB53F2"/>
    <w:rsid w:val="00CB5FFF"/>
    <w:rsid w:val="00CC0B7E"/>
    <w:rsid w:val="00CC3BE9"/>
    <w:rsid w:val="00CC501D"/>
    <w:rsid w:val="00CD4DBD"/>
    <w:rsid w:val="00CD6378"/>
    <w:rsid w:val="00CD698A"/>
    <w:rsid w:val="00CD7A74"/>
    <w:rsid w:val="00CE0020"/>
    <w:rsid w:val="00CE4B6A"/>
    <w:rsid w:val="00CF2854"/>
    <w:rsid w:val="00CF2CFB"/>
    <w:rsid w:val="00D00420"/>
    <w:rsid w:val="00D01023"/>
    <w:rsid w:val="00D01DD6"/>
    <w:rsid w:val="00D148EC"/>
    <w:rsid w:val="00D15947"/>
    <w:rsid w:val="00D23383"/>
    <w:rsid w:val="00D24215"/>
    <w:rsid w:val="00D302C0"/>
    <w:rsid w:val="00D34286"/>
    <w:rsid w:val="00D40CFD"/>
    <w:rsid w:val="00D42B91"/>
    <w:rsid w:val="00D441D4"/>
    <w:rsid w:val="00D44FCF"/>
    <w:rsid w:val="00D451AF"/>
    <w:rsid w:val="00D47B19"/>
    <w:rsid w:val="00D47F02"/>
    <w:rsid w:val="00D530E1"/>
    <w:rsid w:val="00D57A3F"/>
    <w:rsid w:val="00D61F2A"/>
    <w:rsid w:val="00D63626"/>
    <w:rsid w:val="00D71420"/>
    <w:rsid w:val="00D74ACC"/>
    <w:rsid w:val="00D837DC"/>
    <w:rsid w:val="00D8791C"/>
    <w:rsid w:val="00D9329F"/>
    <w:rsid w:val="00D95965"/>
    <w:rsid w:val="00D95A65"/>
    <w:rsid w:val="00D97B1C"/>
    <w:rsid w:val="00DA11F4"/>
    <w:rsid w:val="00DA191E"/>
    <w:rsid w:val="00DA46FC"/>
    <w:rsid w:val="00DA5206"/>
    <w:rsid w:val="00DA7D1B"/>
    <w:rsid w:val="00DB0576"/>
    <w:rsid w:val="00DB095B"/>
    <w:rsid w:val="00DB405A"/>
    <w:rsid w:val="00DB693A"/>
    <w:rsid w:val="00DC1B52"/>
    <w:rsid w:val="00DC32A0"/>
    <w:rsid w:val="00DC76B9"/>
    <w:rsid w:val="00DD268D"/>
    <w:rsid w:val="00DD3CBC"/>
    <w:rsid w:val="00DD3D1B"/>
    <w:rsid w:val="00DD7AA9"/>
    <w:rsid w:val="00DE0555"/>
    <w:rsid w:val="00DE6A1D"/>
    <w:rsid w:val="00DE7D13"/>
    <w:rsid w:val="00E00D16"/>
    <w:rsid w:val="00E02681"/>
    <w:rsid w:val="00E03C6A"/>
    <w:rsid w:val="00E0568C"/>
    <w:rsid w:val="00E0668A"/>
    <w:rsid w:val="00E0711D"/>
    <w:rsid w:val="00E07DB8"/>
    <w:rsid w:val="00E122A6"/>
    <w:rsid w:val="00E14C64"/>
    <w:rsid w:val="00E17016"/>
    <w:rsid w:val="00E2075D"/>
    <w:rsid w:val="00E23793"/>
    <w:rsid w:val="00E27231"/>
    <w:rsid w:val="00E31216"/>
    <w:rsid w:val="00E31C11"/>
    <w:rsid w:val="00E31EB4"/>
    <w:rsid w:val="00E32AF3"/>
    <w:rsid w:val="00E32DFC"/>
    <w:rsid w:val="00E36FE2"/>
    <w:rsid w:val="00E41D27"/>
    <w:rsid w:val="00E443E2"/>
    <w:rsid w:val="00E4519C"/>
    <w:rsid w:val="00E52E03"/>
    <w:rsid w:val="00E60A4E"/>
    <w:rsid w:val="00E661C1"/>
    <w:rsid w:val="00E70013"/>
    <w:rsid w:val="00E73627"/>
    <w:rsid w:val="00E764CC"/>
    <w:rsid w:val="00E80D77"/>
    <w:rsid w:val="00E821F2"/>
    <w:rsid w:val="00E868D2"/>
    <w:rsid w:val="00E90CBD"/>
    <w:rsid w:val="00EA0896"/>
    <w:rsid w:val="00EA253E"/>
    <w:rsid w:val="00EA4FC0"/>
    <w:rsid w:val="00EA5137"/>
    <w:rsid w:val="00EA6E13"/>
    <w:rsid w:val="00EB49E1"/>
    <w:rsid w:val="00EB4C13"/>
    <w:rsid w:val="00EB5279"/>
    <w:rsid w:val="00ED093F"/>
    <w:rsid w:val="00EE308D"/>
    <w:rsid w:val="00EE5345"/>
    <w:rsid w:val="00EE5B09"/>
    <w:rsid w:val="00EE6018"/>
    <w:rsid w:val="00EE69A2"/>
    <w:rsid w:val="00EE7502"/>
    <w:rsid w:val="00EF20C9"/>
    <w:rsid w:val="00EF2B70"/>
    <w:rsid w:val="00F0017D"/>
    <w:rsid w:val="00F033EA"/>
    <w:rsid w:val="00F067E1"/>
    <w:rsid w:val="00F0721A"/>
    <w:rsid w:val="00F07710"/>
    <w:rsid w:val="00F11EA5"/>
    <w:rsid w:val="00F20B94"/>
    <w:rsid w:val="00F20ECD"/>
    <w:rsid w:val="00F21D4D"/>
    <w:rsid w:val="00F25CA5"/>
    <w:rsid w:val="00F31B59"/>
    <w:rsid w:val="00F33C31"/>
    <w:rsid w:val="00F401AB"/>
    <w:rsid w:val="00F53643"/>
    <w:rsid w:val="00F550EB"/>
    <w:rsid w:val="00F5510A"/>
    <w:rsid w:val="00F56D8A"/>
    <w:rsid w:val="00F75363"/>
    <w:rsid w:val="00F8237E"/>
    <w:rsid w:val="00F830EE"/>
    <w:rsid w:val="00F96F0E"/>
    <w:rsid w:val="00FA091D"/>
    <w:rsid w:val="00FA6362"/>
    <w:rsid w:val="00FB0B9C"/>
    <w:rsid w:val="00FB1520"/>
    <w:rsid w:val="00FB21BE"/>
    <w:rsid w:val="00FB37FD"/>
    <w:rsid w:val="00FB3ED7"/>
    <w:rsid w:val="00FB7599"/>
    <w:rsid w:val="00FC14AA"/>
    <w:rsid w:val="00FC1978"/>
    <w:rsid w:val="00FC3516"/>
    <w:rsid w:val="00FC4D11"/>
    <w:rsid w:val="00FC7618"/>
    <w:rsid w:val="00FD1FF4"/>
    <w:rsid w:val="00FD3D3C"/>
    <w:rsid w:val="00FD6129"/>
    <w:rsid w:val="00FE2938"/>
    <w:rsid w:val="00FE6028"/>
    <w:rsid w:val="00FE7D29"/>
    <w:rsid w:val="00FF3812"/>
    <w:rsid w:val="00FF5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507D9"/>
  <w15:docId w15:val="{1EC4298F-CAF1-4EEE-817A-0673FAB5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B52"/>
  </w:style>
  <w:style w:type="paragraph" w:styleId="1">
    <w:name w:val="heading 1"/>
    <w:basedOn w:val="a"/>
    <w:next w:val="a"/>
    <w:link w:val="10"/>
    <w:autoRedefine/>
    <w:uiPriority w:val="9"/>
    <w:qFormat/>
    <w:rsid w:val="0078001C"/>
    <w:pPr>
      <w:keepNext/>
      <w:keepLines/>
      <w:numPr>
        <w:numId w:val="2"/>
      </w:numPr>
      <w:spacing w:before="240" w:after="0"/>
      <w:jc w:val="both"/>
      <w:outlineLvl w:val="0"/>
    </w:pPr>
    <w:rPr>
      <w:rFonts w:ascii="Times New Roman" w:eastAsiaTheme="majorEastAsia" w:hAnsi="Times New Roman" w:cs="Times New Roman"/>
      <w:b/>
      <w:color w:val="002060"/>
      <w:sz w:val="28"/>
      <w:szCs w:val="32"/>
      <w:lang w:val="bg-BG"/>
    </w:rPr>
  </w:style>
  <w:style w:type="paragraph" w:styleId="2">
    <w:name w:val="heading 2"/>
    <w:basedOn w:val="a"/>
    <w:next w:val="a"/>
    <w:link w:val="20"/>
    <w:autoRedefine/>
    <w:uiPriority w:val="99"/>
    <w:unhideWhenUsed/>
    <w:qFormat/>
    <w:rsid w:val="00C11540"/>
    <w:pPr>
      <w:keepNext/>
      <w:keepLines/>
      <w:numPr>
        <w:ilvl w:val="1"/>
        <w:numId w:val="2"/>
      </w:numPr>
      <w:spacing w:before="40" w:after="0"/>
      <w:jc w:val="both"/>
      <w:outlineLvl w:val="1"/>
    </w:pPr>
    <w:rPr>
      <w:rFonts w:ascii="Times New Roman" w:eastAsia="Times New Roman" w:hAnsi="Times New Roman" w:cs="Times New Roman"/>
      <w:b/>
      <w:color w:val="0070C0"/>
      <w:sz w:val="26"/>
      <w:szCs w:val="26"/>
      <w:lang w:val="bg-BG"/>
    </w:rPr>
  </w:style>
  <w:style w:type="paragraph" w:styleId="3">
    <w:name w:val="heading 3"/>
    <w:basedOn w:val="a"/>
    <w:next w:val="a"/>
    <w:link w:val="30"/>
    <w:autoRedefine/>
    <w:uiPriority w:val="9"/>
    <w:unhideWhenUsed/>
    <w:qFormat/>
    <w:rsid w:val="00C11540"/>
    <w:pPr>
      <w:keepNext/>
      <w:keepLines/>
      <w:numPr>
        <w:ilvl w:val="2"/>
        <w:numId w:val="2"/>
      </w:numPr>
      <w:spacing w:before="40" w:after="0"/>
      <w:ind w:left="720"/>
      <w:outlineLvl w:val="2"/>
    </w:pPr>
    <w:rPr>
      <w:rFonts w:ascii="Times New Roman" w:eastAsiaTheme="majorEastAsia" w:hAnsi="Times New Roman" w:cs="Times New Roman"/>
      <w:b/>
      <w:color w:val="1F4D78" w:themeColor="accent1" w:themeShade="7F"/>
      <w:sz w:val="24"/>
      <w:szCs w:val="24"/>
      <w:lang w:val="bg-BG"/>
    </w:rPr>
  </w:style>
  <w:style w:type="paragraph" w:styleId="4">
    <w:name w:val="heading 4"/>
    <w:basedOn w:val="a"/>
    <w:next w:val="a"/>
    <w:link w:val="40"/>
    <w:autoRedefine/>
    <w:uiPriority w:val="9"/>
    <w:unhideWhenUsed/>
    <w:qFormat/>
    <w:rsid w:val="00F550EB"/>
    <w:pPr>
      <w:keepNext/>
      <w:keepLines/>
      <w:numPr>
        <w:ilvl w:val="3"/>
        <w:numId w:val="2"/>
      </w:numPr>
      <w:spacing w:before="40" w:after="0"/>
      <w:outlineLvl w:val="3"/>
    </w:pPr>
    <w:rPr>
      <w:rFonts w:asciiTheme="majorHAnsi" w:eastAsiaTheme="majorEastAsia" w:hAnsiTheme="majorHAnsi" w:cstheme="majorBidi"/>
      <w:b/>
      <w:i/>
      <w:iCs/>
      <w:color w:val="2E74B5" w:themeColor="accent1" w:themeShade="BF"/>
    </w:rPr>
  </w:style>
  <w:style w:type="paragraph" w:styleId="5">
    <w:name w:val="heading 5"/>
    <w:basedOn w:val="a"/>
    <w:next w:val="a"/>
    <w:link w:val="50"/>
    <w:autoRedefine/>
    <w:uiPriority w:val="9"/>
    <w:unhideWhenUsed/>
    <w:qFormat/>
    <w:rsid w:val="00F550EB"/>
    <w:pPr>
      <w:keepNext/>
      <w:keepLines/>
      <w:numPr>
        <w:ilvl w:val="4"/>
        <w:numId w:val="2"/>
      </w:numPr>
      <w:spacing w:before="40" w:after="0"/>
      <w:outlineLvl w:val="4"/>
    </w:pPr>
    <w:rPr>
      <w:rFonts w:asciiTheme="majorHAnsi" w:eastAsiaTheme="majorEastAsia" w:hAnsiTheme="majorHAnsi" w:cstheme="majorBidi"/>
      <w:b/>
      <w:color w:val="2E74B5" w:themeColor="accent1" w:themeShade="BF"/>
    </w:rPr>
  </w:style>
  <w:style w:type="paragraph" w:styleId="6">
    <w:name w:val="heading 6"/>
    <w:basedOn w:val="a"/>
    <w:next w:val="a"/>
    <w:link w:val="60"/>
    <w:autoRedefine/>
    <w:uiPriority w:val="9"/>
    <w:unhideWhenUsed/>
    <w:qFormat/>
    <w:rsid w:val="00F550E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autoRedefine/>
    <w:uiPriority w:val="9"/>
    <w:unhideWhenUsed/>
    <w:qFormat/>
    <w:rsid w:val="00F550E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autoRedefine/>
    <w:uiPriority w:val="9"/>
    <w:unhideWhenUsed/>
    <w:qFormat/>
    <w:rsid w:val="00F550E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autoRedefine/>
    <w:uiPriority w:val="9"/>
    <w:unhideWhenUsed/>
    <w:qFormat/>
    <w:rsid w:val="00F550E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78001C"/>
    <w:rPr>
      <w:rFonts w:ascii="Times New Roman" w:eastAsiaTheme="majorEastAsia" w:hAnsi="Times New Roman" w:cs="Times New Roman"/>
      <w:b/>
      <w:color w:val="002060"/>
      <w:sz w:val="28"/>
      <w:szCs w:val="32"/>
      <w:lang w:val="bg-BG"/>
    </w:rPr>
  </w:style>
  <w:style w:type="character" w:customStyle="1" w:styleId="20">
    <w:name w:val="Заглавие 2 Знак"/>
    <w:basedOn w:val="a0"/>
    <w:link w:val="2"/>
    <w:uiPriority w:val="99"/>
    <w:rsid w:val="00C11540"/>
    <w:rPr>
      <w:rFonts w:ascii="Times New Roman" w:eastAsia="Times New Roman" w:hAnsi="Times New Roman" w:cs="Times New Roman"/>
      <w:b/>
      <w:color w:val="0070C0"/>
      <w:sz w:val="26"/>
      <w:szCs w:val="26"/>
      <w:lang w:val="bg-BG"/>
    </w:rPr>
  </w:style>
  <w:style w:type="character" w:customStyle="1" w:styleId="30">
    <w:name w:val="Заглавие 3 Знак"/>
    <w:basedOn w:val="a0"/>
    <w:link w:val="3"/>
    <w:uiPriority w:val="9"/>
    <w:rsid w:val="00C11540"/>
    <w:rPr>
      <w:rFonts w:ascii="Times New Roman" w:eastAsiaTheme="majorEastAsia" w:hAnsi="Times New Roman" w:cs="Times New Roman"/>
      <w:b/>
      <w:color w:val="1F4D78" w:themeColor="accent1" w:themeShade="7F"/>
      <w:sz w:val="24"/>
      <w:szCs w:val="24"/>
      <w:lang w:val="bg-BG"/>
    </w:rPr>
  </w:style>
  <w:style w:type="character" w:customStyle="1" w:styleId="40">
    <w:name w:val="Заглавие 4 Знак"/>
    <w:basedOn w:val="a0"/>
    <w:link w:val="4"/>
    <w:uiPriority w:val="9"/>
    <w:rsid w:val="000A21FF"/>
    <w:rPr>
      <w:rFonts w:asciiTheme="majorHAnsi" w:eastAsiaTheme="majorEastAsia" w:hAnsiTheme="majorHAnsi" w:cstheme="majorBidi"/>
      <w:b/>
      <w:i/>
      <w:iCs/>
      <w:color w:val="2E74B5" w:themeColor="accent1" w:themeShade="BF"/>
    </w:rPr>
  </w:style>
  <w:style w:type="character" w:customStyle="1" w:styleId="50">
    <w:name w:val="Заглавие 5 Знак"/>
    <w:basedOn w:val="a0"/>
    <w:link w:val="5"/>
    <w:uiPriority w:val="9"/>
    <w:rsid w:val="000A21FF"/>
    <w:rPr>
      <w:rFonts w:asciiTheme="majorHAnsi" w:eastAsiaTheme="majorEastAsia" w:hAnsiTheme="majorHAnsi" w:cstheme="majorBidi"/>
      <w:b/>
      <w:color w:val="2E74B5" w:themeColor="accent1" w:themeShade="BF"/>
    </w:rPr>
  </w:style>
  <w:style w:type="numbering" w:customStyle="1" w:styleId="Style1">
    <w:name w:val="Style1"/>
    <w:uiPriority w:val="99"/>
    <w:rsid w:val="000A21FF"/>
    <w:pPr>
      <w:numPr>
        <w:numId w:val="1"/>
      </w:numPr>
    </w:pPr>
  </w:style>
  <w:style w:type="character" w:customStyle="1" w:styleId="60">
    <w:name w:val="Заглавие 6 Знак"/>
    <w:basedOn w:val="a0"/>
    <w:link w:val="6"/>
    <w:uiPriority w:val="9"/>
    <w:rsid w:val="000A21FF"/>
    <w:rPr>
      <w:rFonts w:asciiTheme="majorHAnsi" w:eastAsiaTheme="majorEastAsia" w:hAnsiTheme="majorHAnsi" w:cstheme="majorBidi"/>
      <w:color w:val="1F4D78" w:themeColor="accent1" w:themeShade="7F"/>
    </w:rPr>
  </w:style>
  <w:style w:type="character" w:customStyle="1" w:styleId="70">
    <w:name w:val="Заглавие 7 Знак"/>
    <w:basedOn w:val="a0"/>
    <w:link w:val="7"/>
    <w:uiPriority w:val="9"/>
    <w:rsid w:val="000A21FF"/>
    <w:rPr>
      <w:rFonts w:asciiTheme="majorHAnsi" w:eastAsiaTheme="majorEastAsia" w:hAnsiTheme="majorHAnsi" w:cstheme="majorBidi"/>
      <w:i/>
      <w:iCs/>
      <w:color w:val="1F4D78" w:themeColor="accent1" w:themeShade="7F"/>
    </w:rPr>
  </w:style>
  <w:style w:type="character" w:customStyle="1" w:styleId="80">
    <w:name w:val="Заглавие 8 Знак"/>
    <w:basedOn w:val="a0"/>
    <w:link w:val="8"/>
    <w:uiPriority w:val="9"/>
    <w:rsid w:val="000A21FF"/>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0"/>
    <w:link w:val="9"/>
    <w:uiPriority w:val="9"/>
    <w:rsid w:val="000A21FF"/>
    <w:rPr>
      <w:rFonts w:asciiTheme="majorHAnsi" w:eastAsiaTheme="majorEastAsia" w:hAnsiTheme="majorHAnsi" w:cstheme="majorBidi"/>
      <w:i/>
      <w:iCs/>
      <w:color w:val="272727" w:themeColor="text1" w:themeTint="D8"/>
      <w:sz w:val="21"/>
      <w:szCs w:val="21"/>
    </w:rPr>
  </w:style>
  <w:style w:type="paragraph" w:styleId="a3">
    <w:name w:val="List Paragraph"/>
    <w:aliases w:val="Numbered list"/>
    <w:basedOn w:val="a"/>
    <w:link w:val="a4"/>
    <w:uiPriority w:val="34"/>
    <w:qFormat/>
    <w:rsid w:val="00F53643"/>
    <w:pPr>
      <w:ind w:left="720"/>
      <w:contextualSpacing/>
    </w:pPr>
  </w:style>
  <w:style w:type="character" w:styleId="a5">
    <w:name w:val="Hyperlink"/>
    <w:basedOn w:val="a0"/>
    <w:unhideWhenUsed/>
    <w:rsid w:val="00F53643"/>
    <w:rPr>
      <w:color w:val="0000FF"/>
      <w:u w:val="single"/>
    </w:rPr>
  </w:style>
  <w:style w:type="character" w:customStyle="1" w:styleId="a4">
    <w:name w:val="Списък на абзаци Знак"/>
    <w:aliases w:val="Numbered list Знак"/>
    <w:link w:val="a3"/>
    <w:uiPriority w:val="34"/>
    <w:locked/>
    <w:rsid w:val="004132AF"/>
  </w:style>
  <w:style w:type="paragraph" w:styleId="a6">
    <w:name w:val="header"/>
    <w:basedOn w:val="a"/>
    <w:link w:val="a7"/>
    <w:unhideWhenUsed/>
    <w:rsid w:val="00B15A1F"/>
    <w:pPr>
      <w:tabs>
        <w:tab w:val="center" w:pos="4680"/>
        <w:tab w:val="right" w:pos="9360"/>
      </w:tabs>
      <w:spacing w:after="0" w:line="240" w:lineRule="auto"/>
    </w:pPr>
  </w:style>
  <w:style w:type="character" w:customStyle="1" w:styleId="a7">
    <w:name w:val="Горен колонтитул Знак"/>
    <w:basedOn w:val="a0"/>
    <w:link w:val="a6"/>
    <w:uiPriority w:val="99"/>
    <w:rsid w:val="00B15A1F"/>
  </w:style>
  <w:style w:type="paragraph" w:styleId="a8">
    <w:name w:val="footer"/>
    <w:basedOn w:val="a"/>
    <w:link w:val="a9"/>
    <w:unhideWhenUsed/>
    <w:rsid w:val="00B15A1F"/>
    <w:pPr>
      <w:tabs>
        <w:tab w:val="center" w:pos="4680"/>
        <w:tab w:val="right" w:pos="9360"/>
      </w:tabs>
      <w:spacing w:after="0" w:line="240" w:lineRule="auto"/>
    </w:pPr>
  </w:style>
  <w:style w:type="character" w:customStyle="1" w:styleId="a9">
    <w:name w:val="Долен колонтитул Знак"/>
    <w:basedOn w:val="a0"/>
    <w:link w:val="a8"/>
    <w:uiPriority w:val="99"/>
    <w:rsid w:val="00B15A1F"/>
  </w:style>
  <w:style w:type="character" w:styleId="aa">
    <w:name w:val="annotation reference"/>
    <w:basedOn w:val="a0"/>
    <w:uiPriority w:val="99"/>
    <w:semiHidden/>
    <w:unhideWhenUsed/>
    <w:rsid w:val="007E2D27"/>
    <w:rPr>
      <w:sz w:val="16"/>
      <w:szCs w:val="16"/>
    </w:rPr>
  </w:style>
  <w:style w:type="paragraph" w:styleId="ab">
    <w:name w:val="annotation text"/>
    <w:basedOn w:val="a"/>
    <w:link w:val="ac"/>
    <w:unhideWhenUsed/>
    <w:rsid w:val="007E2D27"/>
    <w:pPr>
      <w:spacing w:line="240" w:lineRule="auto"/>
    </w:pPr>
    <w:rPr>
      <w:sz w:val="20"/>
      <w:szCs w:val="20"/>
    </w:rPr>
  </w:style>
  <w:style w:type="character" w:customStyle="1" w:styleId="ac">
    <w:name w:val="Текст на коментар Знак"/>
    <w:basedOn w:val="a0"/>
    <w:link w:val="ab"/>
    <w:rsid w:val="007E2D27"/>
    <w:rPr>
      <w:sz w:val="20"/>
      <w:szCs w:val="20"/>
    </w:rPr>
  </w:style>
  <w:style w:type="paragraph" w:styleId="ad">
    <w:name w:val="annotation subject"/>
    <w:basedOn w:val="ab"/>
    <w:next w:val="ab"/>
    <w:link w:val="ae"/>
    <w:uiPriority w:val="99"/>
    <w:semiHidden/>
    <w:unhideWhenUsed/>
    <w:rsid w:val="007E2D27"/>
    <w:rPr>
      <w:b/>
      <w:bCs/>
    </w:rPr>
  </w:style>
  <w:style w:type="character" w:customStyle="1" w:styleId="ae">
    <w:name w:val="Предмет на коментар Знак"/>
    <w:basedOn w:val="ac"/>
    <w:link w:val="ad"/>
    <w:uiPriority w:val="99"/>
    <w:semiHidden/>
    <w:rsid w:val="007E2D27"/>
    <w:rPr>
      <w:b/>
      <w:bCs/>
      <w:sz w:val="20"/>
      <w:szCs w:val="20"/>
    </w:rPr>
  </w:style>
  <w:style w:type="paragraph" w:styleId="af">
    <w:name w:val="Balloon Text"/>
    <w:basedOn w:val="a"/>
    <w:link w:val="af0"/>
    <w:uiPriority w:val="99"/>
    <w:semiHidden/>
    <w:unhideWhenUsed/>
    <w:rsid w:val="007E2D27"/>
    <w:pPr>
      <w:spacing w:after="0" w:line="240" w:lineRule="auto"/>
    </w:pPr>
    <w:rPr>
      <w:rFonts w:ascii="Segoe UI" w:hAnsi="Segoe UI" w:cs="Segoe UI"/>
      <w:sz w:val="18"/>
      <w:szCs w:val="18"/>
    </w:rPr>
  </w:style>
  <w:style w:type="character" w:customStyle="1" w:styleId="af0">
    <w:name w:val="Изнесен текст Знак"/>
    <w:basedOn w:val="a0"/>
    <w:link w:val="af"/>
    <w:uiPriority w:val="99"/>
    <w:semiHidden/>
    <w:rsid w:val="007E2D27"/>
    <w:rPr>
      <w:rFonts w:ascii="Segoe UI" w:hAnsi="Segoe UI" w:cs="Segoe UI"/>
      <w:sz w:val="18"/>
      <w:szCs w:val="18"/>
    </w:rPr>
  </w:style>
  <w:style w:type="table" w:styleId="-1">
    <w:name w:val="Light List Accent 1"/>
    <w:basedOn w:val="a1"/>
    <w:uiPriority w:val="61"/>
    <w:rsid w:val="00A36EF7"/>
    <w:pPr>
      <w:spacing w:after="0" w:line="240" w:lineRule="auto"/>
    </w:pPr>
    <w:rPr>
      <w:lang w:val="bg-BG"/>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af1">
    <w:name w:val="Table Grid"/>
    <w:basedOn w:val="a1"/>
    <w:rsid w:val="00736350"/>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Bullet"/>
    <w:basedOn w:val="a"/>
    <w:unhideWhenUsed/>
    <w:rsid w:val="000B3B6D"/>
    <w:pPr>
      <w:spacing w:after="0" w:line="240" w:lineRule="auto"/>
      <w:ind w:right="-23"/>
      <w:jc w:val="both"/>
    </w:pPr>
    <w:rPr>
      <w:rFonts w:ascii="Times New Roman" w:eastAsia="Times New Roman" w:hAnsi="Times New Roman" w:cs="Times New Roman"/>
      <w:sz w:val="20"/>
      <w:szCs w:val="20"/>
      <w:lang w:val="bg-BG" w:eastAsia="bg-BG"/>
    </w:rPr>
  </w:style>
  <w:style w:type="table" w:styleId="-10">
    <w:name w:val="Light Shading Accent 1"/>
    <w:basedOn w:val="a1"/>
    <w:uiPriority w:val="60"/>
    <w:rsid w:val="000B3B6D"/>
    <w:pPr>
      <w:spacing w:after="0" w:line="240" w:lineRule="auto"/>
    </w:pPr>
    <w:rPr>
      <w:color w:val="2E74B5" w:themeColor="accent1" w:themeShade="BF"/>
      <w:lang w:val="bg-BG"/>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af3">
    <w:name w:val="TOC Heading"/>
    <w:basedOn w:val="1"/>
    <w:next w:val="a"/>
    <w:uiPriority w:val="39"/>
    <w:unhideWhenUsed/>
    <w:qFormat/>
    <w:rsid w:val="00C11540"/>
    <w:pPr>
      <w:numPr>
        <w:numId w:val="0"/>
      </w:numPr>
      <w:outlineLvl w:val="9"/>
    </w:pPr>
    <w:rPr>
      <w:b w:val="0"/>
      <w:sz w:val="32"/>
    </w:rPr>
  </w:style>
  <w:style w:type="paragraph" w:styleId="11">
    <w:name w:val="toc 1"/>
    <w:basedOn w:val="a"/>
    <w:next w:val="a"/>
    <w:autoRedefine/>
    <w:uiPriority w:val="39"/>
    <w:unhideWhenUsed/>
    <w:rsid w:val="00187C79"/>
    <w:pPr>
      <w:tabs>
        <w:tab w:val="left" w:pos="440"/>
        <w:tab w:val="right" w:leader="dot" w:pos="9350"/>
      </w:tabs>
      <w:spacing w:after="100"/>
    </w:pPr>
    <w:rPr>
      <w:b/>
      <w:noProof/>
    </w:rPr>
  </w:style>
  <w:style w:type="paragraph" w:styleId="21">
    <w:name w:val="toc 2"/>
    <w:basedOn w:val="a"/>
    <w:next w:val="a"/>
    <w:autoRedefine/>
    <w:uiPriority w:val="39"/>
    <w:unhideWhenUsed/>
    <w:rsid w:val="00C11540"/>
    <w:pPr>
      <w:spacing w:after="100"/>
      <w:ind w:left="220"/>
    </w:pPr>
  </w:style>
  <w:style w:type="paragraph" w:styleId="31">
    <w:name w:val="toc 3"/>
    <w:basedOn w:val="a"/>
    <w:next w:val="a"/>
    <w:autoRedefine/>
    <w:uiPriority w:val="39"/>
    <w:unhideWhenUsed/>
    <w:rsid w:val="00C11540"/>
    <w:pPr>
      <w:spacing w:after="100"/>
      <w:ind w:left="440"/>
    </w:pPr>
  </w:style>
  <w:style w:type="paragraph" w:customStyle="1" w:styleId="Bulets">
    <w:name w:val="Bulets"/>
    <w:basedOn w:val="a"/>
    <w:uiPriority w:val="99"/>
    <w:rsid w:val="00F20ECD"/>
    <w:pPr>
      <w:numPr>
        <w:numId w:val="14"/>
      </w:numPr>
      <w:spacing w:before="120" w:after="0" w:line="240" w:lineRule="auto"/>
      <w:jc w:val="both"/>
    </w:pPr>
    <w:rPr>
      <w:rFonts w:ascii="Arial" w:eastAsia="Calibri" w:hAnsi="Arial" w:cs="Times New Roman"/>
      <w:sz w:val="24"/>
      <w:szCs w:val="20"/>
      <w:lang w:val="en-GB"/>
    </w:rPr>
  </w:style>
  <w:style w:type="character" w:styleId="af4">
    <w:name w:val="FollowedHyperlink"/>
    <w:basedOn w:val="a0"/>
    <w:uiPriority w:val="99"/>
    <w:semiHidden/>
    <w:unhideWhenUsed/>
    <w:rsid w:val="00CD7A74"/>
    <w:rPr>
      <w:color w:val="954F72" w:themeColor="followedHyperlink"/>
      <w:u w:val="single"/>
    </w:rPr>
  </w:style>
  <w:style w:type="paragraph" w:styleId="af5">
    <w:name w:val="Normal (Web)"/>
    <w:basedOn w:val="a"/>
    <w:uiPriority w:val="99"/>
    <w:unhideWhenUsed/>
    <w:rsid w:val="009C2DD0"/>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Default">
    <w:name w:val="Default"/>
    <w:rsid w:val="002B1CB7"/>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214368">
      <w:bodyDiv w:val="1"/>
      <w:marLeft w:val="0"/>
      <w:marRight w:val="0"/>
      <w:marTop w:val="0"/>
      <w:marBottom w:val="0"/>
      <w:divBdr>
        <w:top w:val="none" w:sz="0" w:space="0" w:color="auto"/>
        <w:left w:val="none" w:sz="0" w:space="0" w:color="auto"/>
        <w:bottom w:val="none" w:sz="0" w:space="0" w:color="auto"/>
        <w:right w:val="none" w:sz="0" w:space="0" w:color="auto"/>
      </w:divBdr>
      <w:divsChild>
        <w:div w:id="789475388">
          <w:marLeft w:val="0"/>
          <w:marRight w:val="0"/>
          <w:marTop w:val="0"/>
          <w:marBottom w:val="0"/>
          <w:divBdr>
            <w:top w:val="none" w:sz="0" w:space="0" w:color="auto"/>
            <w:left w:val="none" w:sz="0" w:space="0" w:color="auto"/>
            <w:bottom w:val="none" w:sz="0" w:space="0" w:color="auto"/>
            <w:right w:val="none" w:sz="0" w:space="0" w:color="auto"/>
          </w:divBdr>
        </w:div>
        <w:div w:id="1469132597">
          <w:marLeft w:val="0"/>
          <w:marRight w:val="0"/>
          <w:marTop w:val="0"/>
          <w:marBottom w:val="0"/>
          <w:divBdr>
            <w:top w:val="none" w:sz="0" w:space="0" w:color="auto"/>
            <w:left w:val="none" w:sz="0" w:space="0" w:color="auto"/>
            <w:bottom w:val="none" w:sz="0" w:space="0" w:color="auto"/>
            <w:right w:val="none" w:sz="0" w:space="0" w:color="auto"/>
          </w:divBdr>
        </w:div>
      </w:divsChild>
    </w:div>
    <w:div w:id="1126390457">
      <w:bodyDiv w:val="1"/>
      <w:marLeft w:val="0"/>
      <w:marRight w:val="0"/>
      <w:marTop w:val="0"/>
      <w:marBottom w:val="0"/>
      <w:divBdr>
        <w:top w:val="none" w:sz="0" w:space="0" w:color="auto"/>
        <w:left w:val="none" w:sz="0" w:space="0" w:color="auto"/>
        <w:bottom w:val="none" w:sz="0" w:space="0" w:color="auto"/>
        <w:right w:val="none" w:sz="0" w:space="0" w:color="auto"/>
      </w:divBdr>
    </w:div>
    <w:div w:id="1316375803">
      <w:bodyDiv w:val="1"/>
      <w:marLeft w:val="0"/>
      <w:marRight w:val="0"/>
      <w:marTop w:val="0"/>
      <w:marBottom w:val="0"/>
      <w:divBdr>
        <w:top w:val="none" w:sz="0" w:space="0" w:color="auto"/>
        <w:left w:val="none" w:sz="0" w:space="0" w:color="auto"/>
        <w:bottom w:val="none" w:sz="0" w:space="0" w:color="auto"/>
        <w:right w:val="none" w:sz="0" w:space="0" w:color="auto"/>
      </w:divBdr>
    </w:div>
    <w:div w:id="186378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E062F-E0CC-4814-B01C-CCC293C5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1673</Words>
  <Characters>9538</Characters>
  <Application>Microsoft Office Word</Application>
  <DocSecurity>0</DocSecurity>
  <Lines>79</Lines>
  <Paragraphs>22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Tyurkedzhiev</dc:creator>
  <cp:lastModifiedBy>НИКОЛАЙ ТЮРКЕДЖИЕВ</cp:lastModifiedBy>
  <cp:revision>19</cp:revision>
  <cp:lastPrinted>2016-04-14T13:15:00Z</cp:lastPrinted>
  <dcterms:created xsi:type="dcterms:W3CDTF">2016-10-25T05:59:00Z</dcterms:created>
  <dcterms:modified xsi:type="dcterms:W3CDTF">2016-11-22T09:45:00Z</dcterms:modified>
</cp:coreProperties>
</file>