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CEF91" w14:textId="1ECA85B8" w:rsidR="007C3EBF" w:rsidRDefault="00580ABB" w:rsidP="00580ABB">
      <w:pPr>
        <w:pStyle w:val="Default"/>
        <w:spacing w:line="480" w:lineRule="auto"/>
        <w:jc w:val="right"/>
        <w:rPr>
          <w:rFonts w:ascii="Verdana" w:hAnsi="Verdana"/>
          <w:b/>
          <w:bCs/>
          <w:iCs/>
          <w:sz w:val="20"/>
          <w:szCs w:val="20"/>
        </w:rPr>
      </w:pPr>
      <w:r w:rsidRPr="00720828">
        <w:rPr>
          <w:rFonts w:ascii="Verdana" w:hAnsi="Verdana"/>
          <w:b/>
          <w:bCs/>
          <w:iCs/>
          <w:sz w:val="20"/>
          <w:szCs w:val="20"/>
        </w:rPr>
        <w:t>Приложение №</w:t>
      </w:r>
      <w:r w:rsidR="00720828" w:rsidRPr="00720828">
        <w:rPr>
          <w:rFonts w:ascii="Verdana" w:hAnsi="Verdana"/>
          <w:b/>
          <w:bCs/>
          <w:iCs/>
          <w:sz w:val="20"/>
          <w:szCs w:val="20"/>
        </w:rPr>
        <w:t xml:space="preserve"> </w:t>
      </w:r>
      <w:r w:rsidR="001A7EA7">
        <w:rPr>
          <w:rFonts w:ascii="Verdana" w:hAnsi="Verdana"/>
          <w:b/>
          <w:bCs/>
          <w:iCs/>
          <w:sz w:val="20"/>
          <w:szCs w:val="20"/>
        </w:rPr>
        <w:t>3</w:t>
      </w:r>
      <w:bookmarkStart w:id="0" w:name="_GoBack"/>
      <w:bookmarkEnd w:id="0"/>
    </w:p>
    <w:p w14:paraId="336FF44B" w14:textId="77777777" w:rsidR="002B1CB7" w:rsidRPr="00E81B11" w:rsidRDefault="002B1CB7" w:rsidP="002B1CB7">
      <w:pPr>
        <w:pStyle w:val="Default"/>
        <w:jc w:val="center"/>
        <w:rPr>
          <w:rFonts w:ascii="Verdana" w:hAnsi="Verdana"/>
          <w:sz w:val="20"/>
          <w:szCs w:val="20"/>
        </w:rPr>
      </w:pPr>
      <w:r w:rsidRPr="00E81B11">
        <w:rPr>
          <w:rFonts w:ascii="Verdana" w:hAnsi="Verdana"/>
          <w:b/>
          <w:bCs/>
          <w:iCs/>
          <w:sz w:val="20"/>
          <w:szCs w:val="20"/>
        </w:rPr>
        <w:t>МЕТОДИКА ЗА ОПРЕДЕЛЯНЕ НА КОМПЛЕКСНАТА ОЦЕНКА НА ОФЕРТИТЕ</w:t>
      </w:r>
    </w:p>
    <w:p w14:paraId="7DFD7AF4" w14:textId="77777777" w:rsidR="00252761" w:rsidRDefault="002B1CB7" w:rsidP="00252761">
      <w:pPr>
        <w:pStyle w:val="Default"/>
        <w:jc w:val="center"/>
        <w:rPr>
          <w:rFonts w:ascii="Verdana" w:hAnsi="Verdana"/>
          <w:b/>
          <w:bCs/>
          <w:sz w:val="20"/>
          <w:szCs w:val="20"/>
        </w:rPr>
      </w:pPr>
      <w:r w:rsidRPr="00E81B11">
        <w:rPr>
          <w:rFonts w:ascii="Verdana" w:hAnsi="Verdana"/>
          <w:b/>
          <w:bCs/>
          <w:sz w:val="20"/>
          <w:szCs w:val="20"/>
        </w:rPr>
        <w:t>КРИТЕРИИ, ПОКАЗАТЕЛИ, ОТНОСИТЕЛНАТА ИМ ТЕЖЕСТ И МЕТОДИКА ЗА ОПРЕДЕЛЯНЕ НА КОМПЛЕКСНАТА ОЦЕНКА НА ОФЕРТИТЕ</w:t>
      </w:r>
      <w:r>
        <w:rPr>
          <w:rFonts w:ascii="Verdana" w:hAnsi="Verdana"/>
          <w:b/>
          <w:bCs/>
          <w:sz w:val="20"/>
          <w:szCs w:val="20"/>
        </w:rPr>
        <w:t xml:space="preserve"> </w:t>
      </w:r>
    </w:p>
    <w:p w14:paraId="4A3D2574" w14:textId="5F355DD1" w:rsidR="00252761" w:rsidRPr="00252761" w:rsidRDefault="00252761" w:rsidP="00252761">
      <w:pPr>
        <w:pStyle w:val="Default"/>
        <w:jc w:val="center"/>
        <w:rPr>
          <w:rFonts w:ascii="Verdana" w:hAnsi="Verdana"/>
          <w:b/>
          <w:bCs/>
          <w:sz w:val="20"/>
          <w:szCs w:val="20"/>
        </w:rPr>
      </w:pPr>
      <w:r w:rsidRPr="00252761">
        <w:rPr>
          <w:rFonts w:ascii="Verdana" w:hAnsi="Verdana"/>
          <w:b/>
          <w:bCs/>
          <w:sz w:val="20"/>
          <w:szCs w:val="20"/>
        </w:rPr>
        <w:t xml:space="preserve">в открита процедура по ЗОП за </w:t>
      </w:r>
      <w:r>
        <w:rPr>
          <w:rFonts w:ascii="Verdana" w:hAnsi="Verdana"/>
          <w:b/>
          <w:bCs/>
          <w:sz w:val="20"/>
          <w:szCs w:val="20"/>
        </w:rPr>
        <w:t xml:space="preserve">възлагане на обществена поръчка </w:t>
      </w:r>
      <w:r w:rsidRPr="00252761">
        <w:rPr>
          <w:rFonts w:ascii="Verdana" w:hAnsi="Verdana"/>
          <w:b/>
          <w:bCs/>
          <w:sz w:val="20"/>
          <w:szCs w:val="20"/>
        </w:rPr>
        <w:t xml:space="preserve">с предмет: </w:t>
      </w:r>
    </w:p>
    <w:p w14:paraId="450E6788" w14:textId="1AD24916" w:rsidR="005F4E35" w:rsidRPr="00252761" w:rsidRDefault="00252761" w:rsidP="00252761">
      <w:pPr>
        <w:pStyle w:val="Default"/>
        <w:jc w:val="center"/>
        <w:rPr>
          <w:rFonts w:ascii="Verdana" w:hAnsi="Verdana"/>
          <w:b/>
          <w:bCs/>
          <w:sz w:val="20"/>
          <w:szCs w:val="20"/>
        </w:rPr>
      </w:pPr>
      <w:r w:rsidRPr="00252761">
        <w:rPr>
          <w:rFonts w:ascii="Verdana" w:hAnsi="Verdana"/>
          <w:b/>
          <w:bCs/>
          <w:sz w:val="20"/>
          <w:szCs w:val="20"/>
        </w:rPr>
        <w:t>„Провеждане на специализирани (тематични) об</w:t>
      </w:r>
      <w:r>
        <w:rPr>
          <w:rFonts w:ascii="Verdana" w:hAnsi="Verdana"/>
          <w:b/>
          <w:bCs/>
          <w:sz w:val="20"/>
          <w:szCs w:val="20"/>
        </w:rPr>
        <w:t>учения на служители на ИА ГИТ (</w:t>
      </w:r>
      <w:r w:rsidRPr="00252761">
        <w:rPr>
          <w:rFonts w:ascii="Verdana" w:hAnsi="Verdana"/>
          <w:b/>
          <w:bCs/>
          <w:sz w:val="20"/>
          <w:szCs w:val="20"/>
        </w:rPr>
        <w:t>служители с инспекторски правомощия, юрисконсулти, икономисти) в присъствена форма на територията на Република България“</w:t>
      </w:r>
    </w:p>
    <w:p w14:paraId="54A6A6EB" w14:textId="77777777" w:rsidR="005F4E35" w:rsidRPr="00252761" w:rsidRDefault="005F4E35" w:rsidP="00252761">
      <w:pPr>
        <w:autoSpaceDE w:val="0"/>
        <w:autoSpaceDN w:val="0"/>
        <w:adjustRightInd w:val="0"/>
        <w:spacing w:after="0" w:line="240" w:lineRule="auto"/>
        <w:jc w:val="both"/>
        <w:rPr>
          <w:rFonts w:ascii="Verdana" w:eastAsia="Times New Roman" w:hAnsi="Verdana" w:cs="Times New Roman"/>
          <w:bCs/>
          <w:sz w:val="20"/>
          <w:szCs w:val="20"/>
          <w:lang w:val="bg-BG"/>
        </w:rPr>
      </w:pPr>
    </w:p>
    <w:p w14:paraId="47812CF0" w14:textId="77777777" w:rsidR="00252761" w:rsidRPr="00252761" w:rsidRDefault="00252761" w:rsidP="00252761">
      <w:pPr>
        <w:autoSpaceDE w:val="0"/>
        <w:autoSpaceDN w:val="0"/>
        <w:adjustRightInd w:val="0"/>
        <w:spacing w:after="0" w:line="240" w:lineRule="auto"/>
        <w:jc w:val="both"/>
        <w:rPr>
          <w:rFonts w:ascii="Verdana" w:eastAsia="Times New Roman" w:hAnsi="Verdana" w:cs="Times New Roman"/>
          <w:bCs/>
          <w:sz w:val="20"/>
          <w:szCs w:val="20"/>
          <w:lang w:val="bg-BG"/>
        </w:rPr>
      </w:pPr>
    </w:p>
    <w:p w14:paraId="3C2CF24D" w14:textId="77777777" w:rsidR="00252761" w:rsidRPr="00252761" w:rsidRDefault="00252761" w:rsidP="007C3EBF">
      <w:pPr>
        <w:autoSpaceDE w:val="0"/>
        <w:autoSpaceDN w:val="0"/>
        <w:adjustRightInd w:val="0"/>
        <w:spacing w:before="20" w:after="20" w:line="240" w:lineRule="auto"/>
        <w:ind w:firstLine="720"/>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I. Същност.</w:t>
      </w:r>
    </w:p>
    <w:p w14:paraId="0D045DDE" w14:textId="1D6A044E"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1. Оценяването и класирането на офертите на участниците се извършва по критерия „ИКОНОМИЧЕСКИ НАЙ-ИЗГОДНАТА ОФЕРТА ” съгласно чл. 70, ал. 2, т. 3 от ЗОП. Оценяването и класирането на постъпилите оферти ще се извърши в съответствие с изискван</w:t>
      </w:r>
      <w:r w:rsidR="00B933A4">
        <w:rPr>
          <w:rFonts w:ascii="Verdana" w:eastAsia="Times New Roman" w:hAnsi="Verdana" w:cs="Times New Roman"/>
          <w:bCs/>
          <w:sz w:val="20"/>
          <w:szCs w:val="20"/>
          <w:lang w:val="bg-BG"/>
        </w:rPr>
        <w:t xml:space="preserve">ията на ЗОП. </w:t>
      </w:r>
    </w:p>
    <w:p w14:paraId="238AC4B4" w14:textId="78F923CE"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2. Настоящата методика за определяне на комплексната оценка на офертите представлява съвкупност от правила, посредством</w:t>
      </w:r>
      <w:r w:rsidR="007C3EBF">
        <w:rPr>
          <w:rFonts w:ascii="Verdana" w:eastAsia="Times New Roman" w:hAnsi="Verdana" w:cs="Times New Roman"/>
          <w:bCs/>
          <w:sz w:val="20"/>
          <w:szCs w:val="20"/>
          <w:lang w:val="bg-BG"/>
        </w:rPr>
        <w:t>,</w:t>
      </w:r>
      <w:r w:rsidRPr="00252761">
        <w:rPr>
          <w:rFonts w:ascii="Verdana" w:eastAsia="Times New Roman" w:hAnsi="Verdana" w:cs="Times New Roman"/>
          <w:bCs/>
          <w:sz w:val="20"/>
          <w:szCs w:val="20"/>
          <w:lang w:val="bg-BG"/>
        </w:rPr>
        <w:t xml:space="preserve"> които ще се оцени съответствието между изискванията на възложителя и предоставените оферти, с оглед определяне на предложението, което ще удовлетвори потребностите на възложителя по оптимал</w:t>
      </w:r>
      <w:r w:rsidR="00B933A4">
        <w:rPr>
          <w:rFonts w:ascii="Verdana" w:eastAsia="Times New Roman" w:hAnsi="Verdana" w:cs="Times New Roman"/>
          <w:bCs/>
          <w:sz w:val="20"/>
          <w:szCs w:val="20"/>
          <w:lang w:val="bg-BG"/>
        </w:rPr>
        <w:t>ен, ефективен и ефикасен начин.</w:t>
      </w:r>
    </w:p>
    <w:p w14:paraId="731232F4" w14:textId="08DF8A94"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3. На комплексна оценка за оценяване на икономически най-изгодната оферта съгласно чл. 70, ал. 2, т. 3 от ЗОП</w:t>
      </w:r>
      <w:r w:rsidR="007C3EBF">
        <w:rPr>
          <w:rFonts w:ascii="Verdana" w:eastAsia="Times New Roman" w:hAnsi="Verdana" w:cs="Times New Roman"/>
          <w:bCs/>
          <w:sz w:val="20"/>
          <w:szCs w:val="20"/>
          <w:lang w:val="bg-BG"/>
        </w:rPr>
        <w:t>,</w:t>
      </w:r>
      <w:r w:rsidRPr="00252761">
        <w:rPr>
          <w:rFonts w:ascii="Verdana" w:eastAsia="Times New Roman" w:hAnsi="Verdana" w:cs="Times New Roman"/>
          <w:bCs/>
          <w:sz w:val="20"/>
          <w:szCs w:val="20"/>
          <w:lang w:val="bg-BG"/>
        </w:rPr>
        <w:t xml:space="preserve"> подлежат офертите на участници в процедурата, които не са отстранени от участие в процедурата и които отговарят на предварително об</w:t>
      </w:r>
      <w:r w:rsidR="00B933A4">
        <w:rPr>
          <w:rFonts w:ascii="Verdana" w:eastAsia="Times New Roman" w:hAnsi="Verdana" w:cs="Times New Roman"/>
          <w:bCs/>
          <w:sz w:val="20"/>
          <w:szCs w:val="20"/>
          <w:lang w:val="bg-BG"/>
        </w:rPr>
        <w:t>явените условия за допустимост.</w:t>
      </w:r>
    </w:p>
    <w:p w14:paraId="6EE13548" w14:textId="0D6F2391"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4. Участниците, чиито технически и ценови предложения не отговарят на изискванията на Възложителя, ще бъдат отстранени от по-нататъшно участие поради несъответствие с услов</w:t>
      </w:r>
      <w:r w:rsidR="00B933A4">
        <w:rPr>
          <w:rFonts w:ascii="Verdana" w:eastAsia="Times New Roman" w:hAnsi="Verdana" w:cs="Times New Roman"/>
          <w:bCs/>
          <w:sz w:val="20"/>
          <w:szCs w:val="20"/>
          <w:lang w:val="bg-BG"/>
        </w:rPr>
        <w:t>ията, поставени от възложителя.</w:t>
      </w:r>
    </w:p>
    <w:p w14:paraId="55646023" w14:textId="46DA33AC"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5. Класирането на офертите се извършва по низходящ ред на получената обща оценка, изчислена на база показателите за оценка, като на първо място се класира офертата с най-висока обща оценка. Оценките по отделните показатели се представят в числово изражение с точност до втория</w:t>
      </w:r>
      <w:r w:rsidR="00B933A4">
        <w:rPr>
          <w:rFonts w:ascii="Verdana" w:eastAsia="Times New Roman" w:hAnsi="Verdana" w:cs="Times New Roman"/>
          <w:bCs/>
          <w:sz w:val="20"/>
          <w:szCs w:val="20"/>
          <w:lang w:val="bg-BG"/>
        </w:rPr>
        <w:t xml:space="preserve"> знак след десетичната запетая.</w:t>
      </w:r>
    </w:p>
    <w:p w14:paraId="65F45CC4" w14:textId="77A7062B"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6. Показателите и относителна тежест в комплексната оценка са опи</w:t>
      </w:r>
      <w:r w:rsidR="00B933A4">
        <w:rPr>
          <w:rFonts w:ascii="Verdana" w:eastAsia="Times New Roman" w:hAnsi="Verdana" w:cs="Times New Roman"/>
          <w:bCs/>
          <w:sz w:val="20"/>
          <w:szCs w:val="20"/>
          <w:lang w:val="bg-BG"/>
        </w:rPr>
        <w:t>сани в настоящата документация.</w:t>
      </w:r>
    </w:p>
    <w:p w14:paraId="59CB2453" w14:textId="0FD3708F"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 xml:space="preserve">7. Цените се предлагат в български лева, без включен ДДС, до втория </w:t>
      </w:r>
      <w:r w:rsidR="00B933A4">
        <w:rPr>
          <w:rFonts w:ascii="Verdana" w:eastAsia="Times New Roman" w:hAnsi="Verdana" w:cs="Times New Roman"/>
          <w:bCs/>
          <w:sz w:val="20"/>
          <w:szCs w:val="20"/>
          <w:lang w:val="bg-BG"/>
        </w:rPr>
        <w:t xml:space="preserve">знак след десетичната запетая. </w:t>
      </w:r>
    </w:p>
    <w:p w14:paraId="613D7CC9" w14:textId="77777777"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r w:rsidRPr="00252761">
        <w:rPr>
          <w:rFonts w:ascii="Verdana" w:eastAsia="Times New Roman" w:hAnsi="Verdana" w:cs="Times New Roman"/>
          <w:bCs/>
          <w:sz w:val="20"/>
          <w:szCs w:val="20"/>
          <w:lang w:val="bg-BG"/>
        </w:rPr>
        <w:tab/>
        <w:t xml:space="preserve">8. В случай че комплексните оценки на две или повече оферти са равни се прилагат разпоредбите на чл. 58 от ППЗОП. </w:t>
      </w:r>
    </w:p>
    <w:p w14:paraId="412F513E" w14:textId="77777777" w:rsidR="00252761" w:rsidRPr="00252761" w:rsidRDefault="00252761" w:rsidP="00252761">
      <w:pPr>
        <w:autoSpaceDE w:val="0"/>
        <w:autoSpaceDN w:val="0"/>
        <w:adjustRightInd w:val="0"/>
        <w:spacing w:before="20" w:after="20" w:line="240" w:lineRule="auto"/>
        <w:jc w:val="both"/>
        <w:rPr>
          <w:rFonts w:ascii="Verdana" w:eastAsia="Times New Roman" w:hAnsi="Verdana" w:cs="Times New Roman"/>
          <w:bCs/>
          <w:sz w:val="20"/>
          <w:szCs w:val="20"/>
          <w:lang w:val="bg-BG"/>
        </w:rPr>
      </w:pPr>
    </w:p>
    <w:p w14:paraId="185E6F66" w14:textId="163E5059" w:rsidR="005F4E35" w:rsidRPr="005F4E35" w:rsidRDefault="005F4E35" w:rsidP="00252761">
      <w:pPr>
        <w:autoSpaceDE w:val="0"/>
        <w:autoSpaceDN w:val="0"/>
        <w:adjustRightInd w:val="0"/>
        <w:spacing w:before="20" w:after="20" w:line="240" w:lineRule="auto"/>
        <w:ind w:firstLine="708"/>
        <w:jc w:val="both"/>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 xml:space="preserve">Оценяването на офертите, които отговарят на предварително обявените от възложителя условия и са допуснати до разглеждане и оценяване, ще бъде извършено </w:t>
      </w:r>
      <w:r w:rsidRPr="005F4E35">
        <w:rPr>
          <w:rFonts w:ascii="Verdana" w:eastAsia="Times New Roman" w:hAnsi="Verdana" w:cs="Times New Roman"/>
          <w:bCs/>
          <w:sz w:val="20"/>
          <w:szCs w:val="20"/>
          <w:lang w:val="bg-BG"/>
        </w:rPr>
        <w:lastRenderedPageBreak/>
        <w:t>съгласно критерия „икономически най-изгодна оферта</w:t>
      </w:r>
      <w:r w:rsidR="00503FB8">
        <w:rPr>
          <w:rFonts w:ascii="Verdana" w:eastAsia="Times New Roman" w:hAnsi="Verdana" w:cs="Times New Roman"/>
          <w:bCs/>
          <w:sz w:val="20"/>
          <w:szCs w:val="20"/>
          <w:lang w:val="bg-BG"/>
        </w:rPr>
        <w:t xml:space="preserve"> въз основа на оптимално съотношение качество/цена</w:t>
      </w:r>
      <w:r w:rsidRPr="005F4E35">
        <w:rPr>
          <w:rFonts w:ascii="Verdana" w:eastAsia="Times New Roman" w:hAnsi="Verdana" w:cs="Times New Roman"/>
          <w:bCs/>
          <w:sz w:val="20"/>
          <w:szCs w:val="20"/>
          <w:lang w:val="bg-BG"/>
        </w:rPr>
        <w:t>”</w:t>
      </w:r>
      <w:r w:rsidR="007C3EBF">
        <w:rPr>
          <w:rFonts w:ascii="Verdana" w:eastAsia="Times New Roman" w:hAnsi="Verdana" w:cs="Times New Roman"/>
          <w:bCs/>
          <w:sz w:val="20"/>
          <w:szCs w:val="20"/>
          <w:lang w:val="bg-BG"/>
        </w:rPr>
        <w:t>,</w:t>
      </w:r>
      <w:r w:rsidRPr="005F4E35">
        <w:rPr>
          <w:rFonts w:ascii="Verdana" w:eastAsia="Times New Roman" w:hAnsi="Verdana" w:cs="Times New Roman"/>
          <w:bCs/>
          <w:sz w:val="20"/>
          <w:szCs w:val="20"/>
          <w:lang w:val="bg-BG"/>
        </w:rPr>
        <w:t xml:space="preserve"> </w:t>
      </w:r>
      <w:r w:rsidR="00503FB8">
        <w:rPr>
          <w:rFonts w:ascii="Verdana" w:eastAsia="Times New Roman" w:hAnsi="Verdana" w:cs="Times New Roman"/>
          <w:bCs/>
          <w:sz w:val="20"/>
          <w:szCs w:val="20"/>
          <w:lang w:val="bg-BG"/>
        </w:rPr>
        <w:t>чрез</w:t>
      </w:r>
      <w:r w:rsidRPr="005F4E35">
        <w:rPr>
          <w:rFonts w:ascii="Verdana" w:eastAsia="Times New Roman" w:hAnsi="Verdana" w:cs="Times New Roman"/>
          <w:bCs/>
          <w:sz w:val="20"/>
          <w:szCs w:val="20"/>
          <w:lang w:val="bg-BG"/>
        </w:rPr>
        <w:t xml:space="preserve"> следните показатели:</w:t>
      </w:r>
    </w:p>
    <w:p w14:paraId="79E4505A" w14:textId="77777777" w:rsidR="005F4E35" w:rsidRPr="005F4E35" w:rsidRDefault="005F4E35" w:rsidP="005F4E35">
      <w:pPr>
        <w:spacing w:before="60" w:after="60" w:line="240" w:lineRule="auto"/>
        <w:ind w:firstLine="360"/>
        <w:jc w:val="right"/>
        <w:rPr>
          <w:rFonts w:ascii="Verdana" w:eastAsia="Times New Roman" w:hAnsi="Verdana" w:cs="Times New Roman"/>
          <w:i/>
          <w:sz w:val="20"/>
          <w:szCs w:val="20"/>
          <w:lang w:val="bg-BG"/>
        </w:rPr>
      </w:pPr>
      <w:r w:rsidRPr="005F4E35">
        <w:rPr>
          <w:rFonts w:ascii="Verdana" w:eastAsia="Times New Roman" w:hAnsi="Verdana" w:cs="Times New Roman"/>
          <w:i/>
          <w:sz w:val="20"/>
          <w:szCs w:val="20"/>
          <w:lang w:val="bg-BG"/>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4191"/>
        <w:gridCol w:w="2257"/>
        <w:gridCol w:w="2418"/>
      </w:tblGrid>
      <w:tr w:rsidR="005F4E35" w:rsidRPr="005F4E35" w14:paraId="1642A616" w14:textId="77777777" w:rsidTr="00CF72D7">
        <w:trPr>
          <w:trHeight w:val="185"/>
        </w:trPr>
        <w:tc>
          <w:tcPr>
            <w:tcW w:w="259" w:type="pct"/>
            <w:shd w:val="clear" w:color="auto" w:fill="A6A6A6"/>
          </w:tcPr>
          <w:p w14:paraId="46EB84A8"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w:t>
            </w:r>
          </w:p>
        </w:tc>
        <w:tc>
          <w:tcPr>
            <w:tcW w:w="2241" w:type="pct"/>
            <w:shd w:val="clear" w:color="auto" w:fill="A6A6A6"/>
          </w:tcPr>
          <w:p w14:paraId="544CF387" w14:textId="77777777" w:rsidR="005F4E35" w:rsidRPr="005F4E35" w:rsidRDefault="005F4E35" w:rsidP="005F4E35">
            <w:pPr>
              <w:spacing w:before="60" w:after="60" w:line="240" w:lineRule="auto"/>
              <w:ind w:left="180"/>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Показател</w:t>
            </w:r>
          </w:p>
        </w:tc>
        <w:tc>
          <w:tcPr>
            <w:tcW w:w="1207" w:type="pct"/>
            <w:shd w:val="clear" w:color="auto" w:fill="A6A6A6"/>
          </w:tcPr>
          <w:p w14:paraId="27275B5C" w14:textId="77777777" w:rsidR="005F4E35" w:rsidRPr="005F4E35" w:rsidRDefault="005F4E35" w:rsidP="005F4E35">
            <w:pPr>
              <w:spacing w:before="60" w:after="60" w:line="240" w:lineRule="auto"/>
              <w:ind w:left="180"/>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Максимален брой точки</w:t>
            </w:r>
          </w:p>
        </w:tc>
        <w:tc>
          <w:tcPr>
            <w:tcW w:w="1293" w:type="pct"/>
            <w:shd w:val="clear" w:color="auto" w:fill="A6A6A6"/>
          </w:tcPr>
          <w:p w14:paraId="2BE89FAE" w14:textId="77777777" w:rsidR="005F4E35" w:rsidRPr="005F4E35" w:rsidRDefault="005F4E35" w:rsidP="005F4E35">
            <w:pPr>
              <w:spacing w:before="60" w:after="60" w:line="240" w:lineRule="auto"/>
              <w:ind w:left="180"/>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Относителна тежест</w:t>
            </w:r>
          </w:p>
        </w:tc>
      </w:tr>
      <w:tr w:rsidR="005F4E35" w:rsidRPr="005F4E35" w14:paraId="4B17BA7C" w14:textId="77777777" w:rsidTr="00CF72D7">
        <w:trPr>
          <w:trHeight w:val="185"/>
        </w:trPr>
        <w:tc>
          <w:tcPr>
            <w:tcW w:w="259" w:type="pct"/>
            <w:shd w:val="clear" w:color="auto" w:fill="FFFF99"/>
          </w:tcPr>
          <w:p w14:paraId="15EA6599"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1.</w:t>
            </w:r>
          </w:p>
        </w:tc>
        <w:tc>
          <w:tcPr>
            <w:tcW w:w="2241" w:type="pct"/>
            <w:shd w:val="clear" w:color="auto" w:fill="FFFF99"/>
          </w:tcPr>
          <w:p w14:paraId="5C485C9F"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Техническа оценка на предложението (П1)</w:t>
            </w:r>
          </w:p>
        </w:tc>
        <w:tc>
          <w:tcPr>
            <w:tcW w:w="1207" w:type="pct"/>
            <w:shd w:val="clear" w:color="auto" w:fill="FFFF99"/>
          </w:tcPr>
          <w:p w14:paraId="5F1628E2"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100</w:t>
            </w:r>
          </w:p>
        </w:tc>
        <w:tc>
          <w:tcPr>
            <w:tcW w:w="1293" w:type="pct"/>
            <w:shd w:val="clear" w:color="auto" w:fill="FFFF99"/>
          </w:tcPr>
          <w:p w14:paraId="702B603B"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5</w:t>
            </w:r>
            <w:r w:rsidRPr="005F4E35">
              <w:rPr>
                <w:rFonts w:ascii="Verdana" w:eastAsia="Times New Roman" w:hAnsi="Verdana" w:cs="Times New Roman"/>
                <w:bCs/>
                <w:sz w:val="20"/>
                <w:szCs w:val="20"/>
              </w:rPr>
              <w:t>0</w:t>
            </w:r>
            <w:r w:rsidRPr="005F4E35">
              <w:rPr>
                <w:rFonts w:ascii="Verdana" w:eastAsia="Times New Roman" w:hAnsi="Verdana" w:cs="Times New Roman"/>
                <w:bCs/>
                <w:sz w:val="20"/>
                <w:szCs w:val="20"/>
                <w:lang w:val="bg-BG"/>
              </w:rPr>
              <w:t>%</w:t>
            </w:r>
          </w:p>
        </w:tc>
      </w:tr>
      <w:tr w:rsidR="005F4E35" w:rsidRPr="005F4E35" w14:paraId="46C570B8" w14:textId="77777777" w:rsidTr="00CF72D7">
        <w:trPr>
          <w:trHeight w:val="185"/>
        </w:trPr>
        <w:tc>
          <w:tcPr>
            <w:tcW w:w="259" w:type="pct"/>
            <w:shd w:val="clear" w:color="auto" w:fill="FFFF99"/>
          </w:tcPr>
          <w:p w14:paraId="6859F50C"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2.</w:t>
            </w:r>
          </w:p>
        </w:tc>
        <w:tc>
          <w:tcPr>
            <w:tcW w:w="2241" w:type="pct"/>
            <w:shd w:val="clear" w:color="auto" w:fill="FFFF99"/>
          </w:tcPr>
          <w:p w14:paraId="5E1AAA92"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Финансова оценка на предложението (П2)</w:t>
            </w:r>
          </w:p>
        </w:tc>
        <w:tc>
          <w:tcPr>
            <w:tcW w:w="1207" w:type="pct"/>
            <w:shd w:val="clear" w:color="auto" w:fill="FFFF99"/>
          </w:tcPr>
          <w:p w14:paraId="400E7B61"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100</w:t>
            </w:r>
          </w:p>
        </w:tc>
        <w:tc>
          <w:tcPr>
            <w:tcW w:w="1293" w:type="pct"/>
            <w:shd w:val="clear" w:color="auto" w:fill="FFFF99"/>
          </w:tcPr>
          <w:p w14:paraId="06A01800" w14:textId="77777777" w:rsidR="005F4E35" w:rsidRPr="005F4E35" w:rsidRDefault="005F4E35" w:rsidP="005F4E35">
            <w:pPr>
              <w:spacing w:before="60" w:after="60" w:line="240" w:lineRule="auto"/>
              <w:jc w:val="center"/>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50%</w:t>
            </w:r>
          </w:p>
        </w:tc>
      </w:tr>
    </w:tbl>
    <w:p w14:paraId="1F822FF1" w14:textId="77777777" w:rsidR="005F4E35" w:rsidRPr="005F4E35" w:rsidRDefault="005F4E35" w:rsidP="005F4E35">
      <w:pPr>
        <w:spacing w:before="60" w:after="60" w:line="240" w:lineRule="auto"/>
        <w:ind w:firstLine="708"/>
        <w:jc w:val="both"/>
        <w:rPr>
          <w:rFonts w:ascii="Verdana" w:eastAsia="Times New Roman" w:hAnsi="Verdana" w:cs="Times New Roman"/>
          <w:bCs/>
          <w:sz w:val="20"/>
          <w:szCs w:val="20"/>
          <w:lang w:val="bg-BG"/>
        </w:rPr>
      </w:pPr>
    </w:p>
    <w:p w14:paraId="6075F602" w14:textId="77777777" w:rsidR="005F4E35" w:rsidRPr="005F4E35" w:rsidRDefault="005F4E35" w:rsidP="005F4E35">
      <w:pPr>
        <w:spacing w:before="60" w:after="60" w:line="240" w:lineRule="auto"/>
        <w:ind w:firstLine="708"/>
        <w:jc w:val="both"/>
        <w:rPr>
          <w:rFonts w:ascii="Verdana" w:eastAsia="Times New Roman" w:hAnsi="Verdana" w:cs="Times New Roman"/>
          <w:bCs/>
          <w:sz w:val="20"/>
          <w:szCs w:val="20"/>
          <w:lang w:val="bg-BG"/>
        </w:rPr>
      </w:pPr>
      <w:r w:rsidRPr="005F4E35">
        <w:rPr>
          <w:rFonts w:ascii="Verdana" w:eastAsia="Times New Roman" w:hAnsi="Verdana" w:cs="Times New Roman"/>
          <w:bCs/>
          <w:sz w:val="20"/>
          <w:szCs w:val="20"/>
          <w:lang w:val="bg-BG"/>
        </w:rPr>
        <w:t>Формирането на оценките по отделните показатели и определянето на комплексната оценка на предложенията на участниците в процедурата се извършва, както следва:</w:t>
      </w:r>
    </w:p>
    <w:p w14:paraId="286B932E" w14:textId="77777777" w:rsidR="005F4E35" w:rsidRPr="004E1251" w:rsidRDefault="005F4E35" w:rsidP="005F4E35">
      <w:pPr>
        <w:spacing w:before="60" w:after="60" w:line="240" w:lineRule="auto"/>
        <w:ind w:firstLine="708"/>
        <w:jc w:val="both"/>
        <w:rPr>
          <w:rFonts w:ascii="Verdana" w:eastAsia="Times New Roman" w:hAnsi="Verdana" w:cs="Times New Roman"/>
          <w:b/>
          <w:bCs/>
          <w:sz w:val="20"/>
          <w:szCs w:val="20"/>
          <w:lang w:val="bg-BG"/>
        </w:rPr>
      </w:pPr>
    </w:p>
    <w:p w14:paraId="41FA0721" w14:textId="77777777" w:rsidR="005F4E35" w:rsidRPr="004E1251" w:rsidRDefault="005F4E35" w:rsidP="005F4E35">
      <w:pPr>
        <w:spacing w:before="60" w:after="60" w:line="240" w:lineRule="auto"/>
        <w:ind w:firstLine="708"/>
        <w:jc w:val="both"/>
        <w:rPr>
          <w:rFonts w:ascii="Verdana" w:eastAsia="Times New Roman" w:hAnsi="Verdana" w:cs="Times New Roman"/>
          <w:b/>
          <w:bCs/>
          <w:sz w:val="20"/>
          <w:szCs w:val="20"/>
          <w:lang w:val="bg-BG"/>
        </w:rPr>
      </w:pPr>
      <w:r w:rsidRPr="004E1251">
        <w:rPr>
          <w:rFonts w:ascii="Verdana" w:eastAsia="Times New Roman" w:hAnsi="Verdana" w:cs="Times New Roman"/>
          <w:b/>
          <w:bCs/>
          <w:sz w:val="20"/>
          <w:szCs w:val="20"/>
          <w:lang w:val="bg-BG"/>
        </w:rPr>
        <w:t>1. ТЕХНИЧЕСКА ОЦЕНКА НА ПРЕДЛОЖЕНИЕТО (П</w:t>
      </w:r>
      <w:r w:rsidRPr="004E1251">
        <w:rPr>
          <w:rFonts w:ascii="Verdana" w:eastAsia="Times New Roman" w:hAnsi="Verdana" w:cs="Times New Roman"/>
          <w:b/>
          <w:bCs/>
          <w:sz w:val="20"/>
          <w:szCs w:val="20"/>
          <w:lang w:val="ru-RU"/>
        </w:rPr>
        <w:t>1</w:t>
      </w:r>
      <w:r w:rsidRPr="004E1251">
        <w:rPr>
          <w:rFonts w:ascii="Verdana" w:eastAsia="Times New Roman" w:hAnsi="Verdana" w:cs="Times New Roman"/>
          <w:b/>
          <w:bCs/>
          <w:sz w:val="20"/>
          <w:szCs w:val="20"/>
          <w:lang w:val="bg-BG"/>
        </w:rPr>
        <w:t>)</w:t>
      </w:r>
    </w:p>
    <w:p w14:paraId="2FF05867" w14:textId="6F9BC605" w:rsidR="005F4E35" w:rsidRPr="004A2309" w:rsidRDefault="005F4E35" w:rsidP="005F4E35">
      <w:pPr>
        <w:spacing w:before="60" w:after="60" w:line="240" w:lineRule="auto"/>
        <w:ind w:firstLine="708"/>
        <w:jc w:val="both"/>
        <w:rPr>
          <w:rFonts w:ascii="Verdana" w:eastAsia="Times New Roman" w:hAnsi="Verdana" w:cs="Times New Roman"/>
          <w:bCs/>
          <w:sz w:val="20"/>
          <w:szCs w:val="20"/>
          <w:lang w:val="bg-BG"/>
        </w:rPr>
      </w:pPr>
      <w:r w:rsidRPr="004A2309">
        <w:rPr>
          <w:rFonts w:ascii="Verdana" w:eastAsia="Times New Roman" w:hAnsi="Verdana" w:cs="Times New Roman"/>
          <w:bCs/>
          <w:sz w:val="20"/>
          <w:szCs w:val="20"/>
          <w:lang w:val="bg-BG"/>
        </w:rPr>
        <w:t>Техническата оценка на предложението (П1)</w:t>
      </w:r>
      <w:r w:rsidRPr="004A2309">
        <w:rPr>
          <w:rFonts w:ascii="Verdana" w:eastAsia="Times New Roman" w:hAnsi="Verdana" w:cs="Times New Roman"/>
          <w:bCs/>
          <w:sz w:val="20"/>
          <w:szCs w:val="20"/>
          <w:lang w:val="ru-RU"/>
        </w:rPr>
        <w:t xml:space="preserve"> на </w:t>
      </w:r>
      <w:proofErr w:type="spellStart"/>
      <w:r w:rsidRPr="004A2309">
        <w:rPr>
          <w:rFonts w:ascii="Verdana" w:eastAsia="Times New Roman" w:hAnsi="Verdana" w:cs="Times New Roman"/>
          <w:bCs/>
          <w:sz w:val="20"/>
          <w:szCs w:val="20"/>
          <w:lang w:val="ru-RU"/>
        </w:rPr>
        <w:t>всеки</w:t>
      </w:r>
      <w:proofErr w:type="spellEnd"/>
      <w:r w:rsidRPr="004A2309">
        <w:rPr>
          <w:rFonts w:ascii="Verdana" w:eastAsia="Times New Roman" w:hAnsi="Verdana" w:cs="Times New Roman"/>
          <w:bCs/>
          <w:sz w:val="20"/>
          <w:szCs w:val="20"/>
          <w:lang w:val="ru-RU"/>
        </w:rPr>
        <w:t xml:space="preserve"> един участник се </w:t>
      </w:r>
      <w:proofErr w:type="spellStart"/>
      <w:r w:rsidRPr="004A2309">
        <w:rPr>
          <w:rFonts w:ascii="Verdana" w:eastAsia="Times New Roman" w:hAnsi="Verdana" w:cs="Times New Roman"/>
          <w:bCs/>
          <w:sz w:val="20"/>
          <w:szCs w:val="20"/>
          <w:lang w:val="ru-RU"/>
        </w:rPr>
        <w:t>формира</w:t>
      </w:r>
      <w:proofErr w:type="spellEnd"/>
      <w:r w:rsidRPr="004A2309">
        <w:rPr>
          <w:rFonts w:ascii="Verdana" w:eastAsia="Times New Roman" w:hAnsi="Verdana" w:cs="Times New Roman"/>
          <w:bCs/>
          <w:sz w:val="20"/>
          <w:szCs w:val="20"/>
          <w:lang w:val="ru-RU"/>
        </w:rPr>
        <w:t xml:space="preserve"> </w:t>
      </w:r>
      <w:proofErr w:type="spellStart"/>
      <w:r w:rsidRPr="004A2309">
        <w:rPr>
          <w:rFonts w:ascii="Verdana" w:eastAsia="Times New Roman" w:hAnsi="Verdana" w:cs="Times New Roman"/>
          <w:bCs/>
          <w:sz w:val="20"/>
          <w:szCs w:val="20"/>
          <w:lang w:val="ru-RU"/>
        </w:rPr>
        <w:t>въз</w:t>
      </w:r>
      <w:proofErr w:type="spellEnd"/>
      <w:r w:rsidRPr="004A2309">
        <w:rPr>
          <w:rFonts w:ascii="Verdana" w:eastAsia="Times New Roman" w:hAnsi="Verdana" w:cs="Times New Roman"/>
          <w:bCs/>
          <w:sz w:val="20"/>
          <w:szCs w:val="20"/>
          <w:lang w:val="ru-RU"/>
        </w:rPr>
        <w:t xml:space="preserve"> основа на </w:t>
      </w:r>
      <w:r w:rsidR="004A2309">
        <w:rPr>
          <w:rFonts w:ascii="Verdana" w:eastAsia="Times New Roman" w:hAnsi="Verdana" w:cs="Times New Roman"/>
          <w:bCs/>
          <w:sz w:val="20"/>
          <w:szCs w:val="20"/>
          <w:lang w:val="bg-BG"/>
        </w:rPr>
        <w:t>т</w:t>
      </w:r>
      <w:r w:rsidR="004A2309" w:rsidRPr="004A2309">
        <w:rPr>
          <w:rFonts w:ascii="Verdana" w:eastAsia="Times New Roman" w:hAnsi="Verdana" w:cs="Times New Roman"/>
          <w:bCs/>
          <w:sz w:val="20"/>
          <w:szCs w:val="20"/>
          <w:lang w:val="bg-BG"/>
        </w:rPr>
        <w:t>очковата оценка на всяко едно техническо предложение съгласно п</w:t>
      </w:r>
      <w:r w:rsidR="004A2309">
        <w:rPr>
          <w:rFonts w:ascii="Verdana" w:eastAsia="Times New Roman" w:hAnsi="Verdana" w:cs="Times New Roman"/>
          <w:bCs/>
          <w:sz w:val="20"/>
          <w:szCs w:val="20"/>
          <w:lang w:val="bg-BG"/>
        </w:rPr>
        <w:t xml:space="preserve">о-долу изброените </w:t>
      </w:r>
      <w:proofErr w:type="spellStart"/>
      <w:r w:rsidR="004A2309">
        <w:rPr>
          <w:rFonts w:ascii="Verdana" w:eastAsia="Times New Roman" w:hAnsi="Verdana" w:cs="Times New Roman"/>
          <w:bCs/>
          <w:sz w:val="20"/>
          <w:szCs w:val="20"/>
          <w:lang w:val="bg-BG"/>
        </w:rPr>
        <w:t>подпоказатели</w:t>
      </w:r>
      <w:proofErr w:type="spellEnd"/>
      <w:r w:rsidR="004A2309">
        <w:rPr>
          <w:rFonts w:ascii="Verdana" w:eastAsia="Times New Roman" w:hAnsi="Verdana" w:cs="Times New Roman"/>
          <w:bCs/>
          <w:sz w:val="20"/>
          <w:szCs w:val="20"/>
          <w:lang w:val="bg-BG"/>
        </w:rPr>
        <w:t>:</w:t>
      </w:r>
    </w:p>
    <w:p w14:paraId="327C31F9" w14:textId="77777777" w:rsidR="005F4E35" w:rsidRPr="005F4E35" w:rsidRDefault="005F4E35" w:rsidP="005F4E35">
      <w:pPr>
        <w:spacing w:before="60" w:after="60" w:line="240" w:lineRule="auto"/>
        <w:ind w:firstLine="360"/>
        <w:jc w:val="right"/>
        <w:rPr>
          <w:rFonts w:ascii="Verdana" w:eastAsia="Times New Roman" w:hAnsi="Verdana" w:cs="Times New Roman"/>
          <w:i/>
          <w:sz w:val="20"/>
          <w:szCs w:val="20"/>
          <w:lang w:val="bg-BG"/>
        </w:rPr>
      </w:pPr>
      <w:r w:rsidRPr="005F4E35">
        <w:rPr>
          <w:rFonts w:ascii="Verdana" w:eastAsia="Times New Roman" w:hAnsi="Verdana" w:cs="Times New Roman"/>
          <w:i/>
          <w:sz w:val="20"/>
          <w:szCs w:val="20"/>
          <w:lang w:val="bg-BG"/>
        </w:rPr>
        <w:t>Таблица №1</w:t>
      </w:r>
    </w:p>
    <w:tbl>
      <w:tblPr>
        <w:tblW w:w="4925" w:type="pct"/>
        <w:tblCellMar>
          <w:left w:w="70" w:type="dxa"/>
          <w:right w:w="70" w:type="dxa"/>
        </w:tblCellMar>
        <w:tblLook w:val="0000" w:firstRow="0" w:lastRow="0" w:firstColumn="0" w:lastColumn="0" w:noHBand="0" w:noVBand="0"/>
      </w:tblPr>
      <w:tblGrid>
        <w:gridCol w:w="6517"/>
        <w:gridCol w:w="2693"/>
      </w:tblGrid>
      <w:tr w:rsidR="00726FF4" w:rsidRPr="005F4E35" w14:paraId="79BBE82E" w14:textId="77777777" w:rsidTr="00726FF4">
        <w:trPr>
          <w:trHeight w:hRule="exact" w:val="1244"/>
          <w:tblHeader/>
        </w:trPr>
        <w:tc>
          <w:tcPr>
            <w:tcW w:w="3538" w:type="pct"/>
            <w:tcBorders>
              <w:top w:val="single" w:sz="4" w:space="0" w:color="000000"/>
              <w:left w:val="single" w:sz="4" w:space="0" w:color="000000"/>
              <w:bottom w:val="single" w:sz="4" w:space="0" w:color="000000"/>
            </w:tcBorders>
            <w:shd w:val="clear" w:color="auto" w:fill="A6A6A6"/>
            <w:vAlign w:val="center"/>
          </w:tcPr>
          <w:p w14:paraId="6195ED07" w14:textId="77777777" w:rsidR="00726FF4" w:rsidRPr="005F4E35" w:rsidRDefault="00726FF4" w:rsidP="005F4E35">
            <w:pPr>
              <w:spacing w:before="60" w:after="60" w:line="240" w:lineRule="auto"/>
              <w:jc w:val="center"/>
              <w:rPr>
                <w:rFonts w:ascii="Verdana" w:eastAsia="Times New Roman" w:hAnsi="Verdana" w:cs="Times New Roman"/>
                <w:b/>
                <w:sz w:val="20"/>
                <w:szCs w:val="20"/>
                <w:lang w:val="bg-BG"/>
              </w:rPr>
            </w:pPr>
            <w:proofErr w:type="spellStart"/>
            <w:r w:rsidRPr="005F4E35">
              <w:rPr>
                <w:rFonts w:ascii="Verdana" w:eastAsia="Times New Roman" w:hAnsi="Verdana" w:cs="Times New Roman"/>
                <w:b/>
                <w:sz w:val="20"/>
                <w:szCs w:val="20"/>
                <w:lang w:val="bg-BG"/>
              </w:rPr>
              <w:t>Подпоказател</w:t>
            </w:r>
            <w:proofErr w:type="spellEnd"/>
          </w:p>
        </w:tc>
        <w:tc>
          <w:tcPr>
            <w:tcW w:w="146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FB32200" w14:textId="77777777" w:rsidR="00726FF4" w:rsidRPr="005F4E35" w:rsidRDefault="00726FF4" w:rsidP="005F4E35">
            <w:pPr>
              <w:spacing w:before="60" w:after="60" w:line="240" w:lineRule="auto"/>
              <w:jc w:val="center"/>
              <w:rPr>
                <w:rFonts w:ascii="Verdana" w:eastAsia="Times New Roman" w:hAnsi="Verdana" w:cs="Times New Roman"/>
                <w:b/>
                <w:sz w:val="20"/>
                <w:szCs w:val="20"/>
                <w:lang w:val="bg-BG"/>
              </w:rPr>
            </w:pPr>
            <w:r w:rsidRPr="005F4E35">
              <w:rPr>
                <w:rFonts w:ascii="Verdana" w:eastAsia="Times New Roman" w:hAnsi="Verdana" w:cs="Times New Roman"/>
                <w:b/>
                <w:sz w:val="20"/>
                <w:szCs w:val="20"/>
                <w:lang w:val="bg-BG"/>
              </w:rPr>
              <w:t>Брой точки</w:t>
            </w:r>
          </w:p>
          <w:p w14:paraId="262C2887" w14:textId="77777777" w:rsidR="00726FF4" w:rsidRPr="005F4E35" w:rsidRDefault="00726FF4" w:rsidP="005F4E35">
            <w:pPr>
              <w:spacing w:before="60" w:after="60" w:line="240" w:lineRule="auto"/>
              <w:jc w:val="center"/>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/от – до/</w:t>
            </w:r>
          </w:p>
        </w:tc>
      </w:tr>
      <w:tr w:rsidR="00726FF4" w:rsidRPr="005F4E35" w14:paraId="645590BD" w14:textId="77777777" w:rsidTr="00726FF4">
        <w:trPr>
          <w:trHeight w:val="300"/>
        </w:trPr>
        <w:tc>
          <w:tcPr>
            <w:tcW w:w="3538" w:type="pct"/>
            <w:tcBorders>
              <w:left w:val="single" w:sz="8" w:space="0" w:color="000000"/>
              <w:bottom w:val="single" w:sz="8" w:space="0" w:color="000000"/>
            </w:tcBorders>
            <w:shd w:val="clear" w:color="auto" w:fill="FFFF99"/>
            <w:vAlign w:val="center"/>
          </w:tcPr>
          <w:p w14:paraId="38C71982" w14:textId="77777777" w:rsidR="00726FF4" w:rsidRPr="005F4E35" w:rsidRDefault="00726FF4" w:rsidP="005F4E35">
            <w:pPr>
              <w:spacing w:before="60" w:after="60" w:line="240" w:lineRule="auto"/>
              <w:rPr>
                <w:rFonts w:ascii="Verdana" w:eastAsia="Times New Roman" w:hAnsi="Verdana" w:cs="Times New Roman"/>
                <w:b/>
                <w:sz w:val="20"/>
                <w:szCs w:val="20"/>
                <w:lang w:val="bg-BG"/>
              </w:rPr>
            </w:pPr>
            <w:r w:rsidRPr="005F4E35">
              <w:rPr>
                <w:rFonts w:ascii="Verdana" w:eastAsia="Times New Roman" w:hAnsi="Verdana" w:cs="Times New Roman"/>
                <w:b/>
                <w:sz w:val="20"/>
                <w:szCs w:val="20"/>
                <w:lang w:val="bg-BG"/>
              </w:rPr>
              <w:t>П.1.1 – Категория Хотели</w:t>
            </w:r>
          </w:p>
          <w:p w14:paraId="492A602D" w14:textId="313E9FC3" w:rsidR="00726FF4" w:rsidRPr="005F4E35" w:rsidRDefault="00726FF4" w:rsidP="00726FF4">
            <w:pPr>
              <w:numPr>
                <w:ilvl w:val="0"/>
                <w:numId w:val="46"/>
              </w:numPr>
              <w:tabs>
                <w:tab w:val="left" w:pos="289"/>
              </w:tabs>
              <w:spacing w:after="120" w:line="240" w:lineRule="auto"/>
              <w:ind w:left="0" w:firstLine="0"/>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 xml:space="preserve">При оценката по този </w:t>
            </w:r>
            <w:proofErr w:type="spellStart"/>
            <w:r w:rsidRPr="005F4E35">
              <w:rPr>
                <w:rFonts w:ascii="Verdana" w:eastAsia="Times New Roman" w:hAnsi="Verdana" w:cs="Times New Roman"/>
                <w:sz w:val="20"/>
                <w:szCs w:val="20"/>
                <w:lang w:val="bg-BG"/>
              </w:rPr>
              <w:t>подпоказател</w:t>
            </w:r>
            <w:proofErr w:type="spellEnd"/>
            <w:r w:rsidRPr="005F4E35">
              <w:rPr>
                <w:rFonts w:ascii="Verdana" w:eastAsia="Times New Roman" w:hAnsi="Verdana" w:cs="Times New Roman"/>
                <w:sz w:val="20"/>
                <w:szCs w:val="20"/>
                <w:lang w:val="bg-BG"/>
              </w:rPr>
              <w:t xml:space="preserve"> всеки участник ще получи по </w:t>
            </w:r>
            <w:r>
              <w:rPr>
                <w:rFonts w:ascii="Verdana" w:eastAsia="Times New Roman" w:hAnsi="Verdana" w:cs="Times New Roman"/>
                <w:sz w:val="20"/>
                <w:szCs w:val="20"/>
                <w:lang w:val="bg-BG"/>
              </w:rPr>
              <w:t>8</w:t>
            </w:r>
            <w:r w:rsidRPr="005F4E35">
              <w:rPr>
                <w:rFonts w:ascii="Verdana" w:eastAsia="Times New Roman" w:hAnsi="Verdana" w:cs="Times New Roman"/>
                <w:sz w:val="20"/>
                <w:szCs w:val="20"/>
                <w:lang w:val="bg-BG"/>
              </w:rPr>
              <w:t xml:space="preserve"> точки за всеки от 5-звездните хотели, които е предложил, </w:t>
            </w:r>
            <w:r>
              <w:rPr>
                <w:rFonts w:ascii="Verdana" w:eastAsia="Times New Roman" w:hAnsi="Verdana" w:cs="Times New Roman"/>
                <w:sz w:val="20"/>
                <w:szCs w:val="20"/>
                <w:lang w:val="bg-BG"/>
              </w:rPr>
              <w:t>6</w:t>
            </w:r>
            <w:r w:rsidRPr="005F4E35">
              <w:rPr>
                <w:rFonts w:ascii="Verdana" w:eastAsia="Times New Roman" w:hAnsi="Verdana" w:cs="Times New Roman"/>
                <w:sz w:val="20"/>
                <w:szCs w:val="20"/>
                <w:lang w:val="bg-BG"/>
              </w:rPr>
              <w:t xml:space="preserve"> точки за 4-звездните и </w:t>
            </w:r>
            <w:r>
              <w:rPr>
                <w:rFonts w:ascii="Verdana" w:eastAsia="Times New Roman" w:hAnsi="Verdana" w:cs="Times New Roman"/>
                <w:sz w:val="20"/>
                <w:szCs w:val="20"/>
                <w:lang w:val="bg-BG"/>
              </w:rPr>
              <w:t>4</w:t>
            </w:r>
            <w:r w:rsidRPr="005F4E35">
              <w:rPr>
                <w:rFonts w:ascii="Verdana" w:eastAsia="Times New Roman" w:hAnsi="Verdana" w:cs="Times New Roman"/>
                <w:sz w:val="20"/>
                <w:szCs w:val="20"/>
                <w:lang w:val="bg-BG"/>
              </w:rPr>
              <w:t xml:space="preserve"> точки за 3-звездните, във всеки един от </w:t>
            </w:r>
            <w:r>
              <w:rPr>
                <w:rFonts w:ascii="Verdana" w:eastAsia="Times New Roman" w:hAnsi="Verdana" w:cs="Times New Roman"/>
                <w:sz w:val="20"/>
                <w:szCs w:val="20"/>
                <w:lang w:val="bg-BG"/>
              </w:rPr>
              <w:t>петте</w:t>
            </w:r>
            <w:r w:rsidRPr="005F4E35">
              <w:rPr>
                <w:rFonts w:ascii="Verdana" w:eastAsia="Times New Roman" w:hAnsi="Verdana" w:cs="Times New Roman"/>
                <w:sz w:val="20"/>
                <w:szCs w:val="20"/>
                <w:lang w:val="bg-BG"/>
              </w:rPr>
              <w:t xml:space="preserve"> града, в които ще се провеждат обученията</w:t>
            </w:r>
          </w:p>
        </w:tc>
        <w:tc>
          <w:tcPr>
            <w:tcW w:w="1462" w:type="pct"/>
            <w:tcBorders>
              <w:left w:val="single" w:sz="4" w:space="0" w:color="000000"/>
              <w:bottom w:val="single" w:sz="8" w:space="0" w:color="000000"/>
              <w:right w:val="single" w:sz="8" w:space="0" w:color="000000"/>
            </w:tcBorders>
            <w:shd w:val="clear" w:color="auto" w:fill="FFFF99"/>
            <w:vAlign w:val="center"/>
          </w:tcPr>
          <w:p w14:paraId="79B870EA" w14:textId="5C04DC93" w:rsidR="00726FF4" w:rsidRPr="005F4E35" w:rsidRDefault="00726FF4" w:rsidP="002C466B">
            <w:pPr>
              <w:spacing w:before="60" w:after="60" w:line="240" w:lineRule="auto"/>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w:t>
            </w:r>
            <w:r w:rsidRPr="005F4E35">
              <w:rPr>
                <w:rFonts w:ascii="Verdana" w:eastAsia="Times New Roman" w:hAnsi="Verdana" w:cs="Times New Roman"/>
                <w:sz w:val="20"/>
                <w:szCs w:val="20"/>
                <w:lang w:val="bg-BG"/>
              </w:rPr>
              <w:t xml:space="preserve"> – </w:t>
            </w:r>
            <w:r>
              <w:rPr>
                <w:rFonts w:ascii="Verdana" w:eastAsia="Times New Roman" w:hAnsi="Verdana" w:cs="Times New Roman"/>
                <w:sz w:val="20"/>
                <w:szCs w:val="20"/>
                <w:lang w:val="bg-BG"/>
              </w:rPr>
              <w:t>4</w:t>
            </w:r>
            <w:r w:rsidRPr="005F4E35">
              <w:rPr>
                <w:rFonts w:ascii="Verdana" w:eastAsia="Times New Roman" w:hAnsi="Verdana" w:cs="Times New Roman"/>
                <w:sz w:val="20"/>
                <w:szCs w:val="20"/>
                <w:lang w:val="bg-BG"/>
              </w:rPr>
              <w:t>0</w:t>
            </w:r>
          </w:p>
        </w:tc>
      </w:tr>
      <w:tr w:rsidR="00726FF4" w:rsidRPr="005F4E35" w14:paraId="5116A301" w14:textId="77777777" w:rsidTr="00726FF4">
        <w:trPr>
          <w:trHeight w:val="300"/>
        </w:trPr>
        <w:tc>
          <w:tcPr>
            <w:tcW w:w="3538" w:type="pct"/>
            <w:tcBorders>
              <w:left w:val="single" w:sz="8" w:space="0" w:color="000000"/>
              <w:bottom w:val="single" w:sz="4" w:space="0" w:color="auto"/>
            </w:tcBorders>
            <w:shd w:val="clear" w:color="auto" w:fill="FFFF99"/>
            <w:vAlign w:val="center"/>
          </w:tcPr>
          <w:p w14:paraId="419E8CFC" w14:textId="59D056C5" w:rsidR="00726FF4" w:rsidRPr="005F4E35" w:rsidRDefault="00726FF4" w:rsidP="005F4E35">
            <w:pPr>
              <w:spacing w:before="60" w:after="60" w:line="240" w:lineRule="auto"/>
              <w:rPr>
                <w:rFonts w:ascii="Verdana" w:eastAsia="Times New Roman" w:hAnsi="Verdana" w:cs="Times New Roman"/>
                <w:b/>
                <w:sz w:val="20"/>
                <w:szCs w:val="20"/>
                <w:lang w:val="bg-BG"/>
              </w:rPr>
            </w:pPr>
            <w:r w:rsidRPr="005F4E35">
              <w:rPr>
                <w:rFonts w:ascii="Verdana" w:eastAsia="Times New Roman" w:hAnsi="Verdana" w:cs="Times New Roman"/>
                <w:b/>
                <w:sz w:val="20"/>
                <w:szCs w:val="20"/>
                <w:lang w:val="bg-BG"/>
              </w:rPr>
              <w:t xml:space="preserve">П.1.2 – </w:t>
            </w:r>
            <w:r>
              <w:rPr>
                <w:rFonts w:ascii="Verdana" w:eastAsia="Times New Roman" w:hAnsi="Verdana" w:cs="Times New Roman"/>
                <w:b/>
                <w:sz w:val="20"/>
                <w:szCs w:val="20"/>
                <w:lang w:val="bg-BG"/>
              </w:rPr>
              <w:t>Разбиране на потребностите от обучения на отделните целеви групи – служители на ИА ГИТ (действащи инспектори (теми №№ 1, 2,3 , 4, 5, 6, 8, 9, 10, 11</w:t>
            </w:r>
            <w:r w:rsidR="005A55F1">
              <w:rPr>
                <w:rFonts w:ascii="Verdana" w:eastAsia="Times New Roman" w:hAnsi="Verdana" w:cs="Times New Roman"/>
                <w:b/>
                <w:sz w:val="20"/>
                <w:szCs w:val="20"/>
                <w:lang w:val="bg-BG"/>
              </w:rPr>
              <w:t>) новоназначени инспектори (теми</w:t>
            </w:r>
            <w:r>
              <w:rPr>
                <w:rFonts w:ascii="Verdana" w:eastAsia="Times New Roman" w:hAnsi="Verdana" w:cs="Times New Roman"/>
                <w:b/>
                <w:sz w:val="20"/>
                <w:szCs w:val="20"/>
                <w:lang w:val="bg-BG"/>
              </w:rPr>
              <w:t xml:space="preserve"> </w:t>
            </w:r>
            <w:r w:rsidR="005A55F1">
              <w:rPr>
                <w:rFonts w:ascii="Verdana" w:eastAsia="Times New Roman" w:hAnsi="Verdana" w:cs="Times New Roman"/>
                <w:b/>
                <w:sz w:val="20"/>
                <w:szCs w:val="20"/>
                <w:lang w:val="bg-BG"/>
              </w:rPr>
              <w:t>№</w:t>
            </w:r>
            <w:r>
              <w:rPr>
                <w:rFonts w:ascii="Verdana" w:eastAsia="Times New Roman" w:hAnsi="Verdana" w:cs="Times New Roman"/>
                <w:b/>
                <w:sz w:val="20"/>
                <w:szCs w:val="20"/>
                <w:lang w:val="bg-BG"/>
              </w:rPr>
              <w:t>№ 7, 11), юрисконсулти (теми №№ 9, 10, 11).</w:t>
            </w:r>
          </w:p>
          <w:p w14:paraId="7A936FB8" w14:textId="2C2A68BA" w:rsidR="00726FF4" w:rsidRDefault="00726FF4" w:rsidP="005F4E35">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24 точки получава участник, който в анализа е отчел особеностите на всяка целева група. Очакваните нови </w:t>
            </w:r>
            <w:r>
              <w:rPr>
                <w:rFonts w:ascii="Verdana" w:eastAsia="Times New Roman" w:hAnsi="Verdana" w:cs="Times New Roman"/>
                <w:sz w:val="20"/>
                <w:szCs w:val="20"/>
                <w:lang w:val="bg-BG"/>
              </w:rPr>
              <w:lastRenderedPageBreak/>
              <w:t>знания и умения, които следва да придобият обучаваните, отчитат спецификата на дейността на ИА ГИТ и са съобразени със състава на отделните целеви групи, като е отчетено вероятното входно ниво на обучаваните и са посочени средствата, чрез които ще бъде определено това входно ниво.</w:t>
            </w:r>
          </w:p>
          <w:p w14:paraId="7FFCB5B5" w14:textId="7200744B" w:rsidR="00726FF4" w:rsidRDefault="00726FF4" w:rsidP="00FB1520">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18 точки получава участник, който в анализа е отчел особеностите на всяка целева група. Очакваните нови знания и умения, които следва да придобият обучаваните, не отчитат в достатъчна степен спецификата на дейността на ИА ГИТ, но са съобразени със състава на отделните целеви групи, като е отчетено вероятното входно ниво на обучаваните и са посочени средствата, чрез които ще бъде определено това входно ниво.</w:t>
            </w:r>
          </w:p>
          <w:p w14:paraId="4D8F572E" w14:textId="167A6174" w:rsidR="00726FF4" w:rsidRDefault="00726FF4" w:rsidP="00FB1520">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12 точки получава участник, който в анализа не е отчел особеностите на всяка целева група. Очакваните нови знания и умения, които следва да придобият обучаваните, отчитат спецификата на дейността на ИА ГИТ и са съобразени със състава на отделните целеви групи, като е отчетено вероятното входно ниво на обучаваните и са посочени средствата, чрез които ще бъде определено това входно ниво.</w:t>
            </w:r>
          </w:p>
          <w:p w14:paraId="0531CD53" w14:textId="6FF94A86" w:rsidR="00726FF4" w:rsidRPr="005F4E35" w:rsidRDefault="00726FF4" w:rsidP="005F4E35">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6 точки получава участник, който в анализа не е отчел в достатъчна степен особеностите на всяка целева група. Очакваните нови знания и умения, които следва да придобият обучаваните, не отчитат спецификата на дейността на ИА ГИТ и не са съобразени със състава на отделните целеви групи, като не е отчетено вероятното входно ниво на обучаваните и не са посочени средствата, чрез които ще бъде определено това входно ниво.</w:t>
            </w:r>
          </w:p>
        </w:tc>
        <w:tc>
          <w:tcPr>
            <w:tcW w:w="1462" w:type="pct"/>
            <w:tcBorders>
              <w:left w:val="single" w:sz="4" w:space="0" w:color="000000"/>
              <w:bottom w:val="single" w:sz="4" w:space="0" w:color="auto"/>
              <w:right w:val="single" w:sz="8" w:space="0" w:color="000000"/>
            </w:tcBorders>
            <w:shd w:val="clear" w:color="auto" w:fill="FFFF99"/>
            <w:vAlign w:val="center"/>
          </w:tcPr>
          <w:p w14:paraId="629E96C8" w14:textId="0F5E546E" w:rsidR="00726FF4" w:rsidRPr="005F4E35" w:rsidRDefault="00726FF4" w:rsidP="00AF648E">
            <w:pPr>
              <w:spacing w:before="60" w:after="60" w:line="240" w:lineRule="auto"/>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6 </w:t>
            </w:r>
            <w:r w:rsidRPr="005F4E35">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24</w:t>
            </w:r>
          </w:p>
        </w:tc>
      </w:tr>
      <w:tr w:rsidR="00726FF4" w:rsidRPr="005F4E35" w14:paraId="3F86E191" w14:textId="77777777" w:rsidTr="00726FF4">
        <w:trPr>
          <w:trHeight w:val="300"/>
        </w:trPr>
        <w:tc>
          <w:tcPr>
            <w:tcW w:w="3538" w:type="pct"/>
            <w:tcBorders>
              <w:top w:val="single" w:sz="4" w:space="0" w:color="auto"/>
              <w:left w:val="single" w:sz="4" w:space="0" w:color="auto"/>
              <w:bottom w:val="single" w:sz="4" w:space="0" w:color="auto"/>
              <w:right w:val="single" w:sz="4" w:space="0" w:color="auto"/>
            </w:tcBorders>
            <w:shd w:val="clear" w:color="auto" w:fill="FFFF99"/>
            <w:vAlign w:val="center"/>
          </w:tcPr>
          <w:p w14:paraId="2B3F4A54" w14:textId="00FEB6B1" w:rsidR="00726FF4" w:rsidRDefault="00726FF4" w:rsidP="009A22DF">
            <w:pPr>
              <w:spacing w:before="60" w:after="60" w:line="240" w:lineRule="auto"/>
              <w:rPr>
                <w:rFonts w:ascii="Verdana" w:eastAsia="Times New Roman" w:hAnsi="Verdana" w:cs="Times New Roman"/>
                <w:b/>
                <w:sz w:val="20"/>
                <w:szCs w:val="20"/>
                <w:lang w:val="bg-BG"/>
              </w:rPr>
            </w:pPr>
            <w:r>
              <w:rPr>
                <w:rFonts w:ascii="Verdana" w:eastAsia="Times New Roman" w:hAnsi="Verdana" w:cs="Times New Roman"/>
                <w:b/>
                <w:sz w:val="20"/>
                <w:szCs w:val="20"/>
                <w:lang w:val="bg-BG"/>
              </w:rPr>
              <w:t>П.1.3 Дидактически анализ и прилагани дидактически принципи.</w:t>
            </w:r>
          </w:p>
          <w:p w14:paraId="637A8E47" w14:textId="614CDC3A" w:rsidR="00726FF4" w:rsidRDefault="00726FF4" w:rsidP="0032282C">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36 точки получава участник, който в анализа е съобразил предвидените дидактически принципи с особеностите на всяка целева група, като е отчетен факта, че се провежда обучение на възрастни с известен професионален и жизнен </w:t>
            </w:r>
            <w:r>
              <w:rPr>
                <w:rFonts w:ascii="Verdana" w:eastAsia="Times New Roman" w:hAnsi="Verdana" w:cs="Times New Roman"/>
                <w:sz w:val="20"/>
                <w:szCs w:val="20"/>
                <w:lang w:val="bg-BG"/>
              </w:rPr>
              <w:lastRenderedPageBreak/>
              <w:t>опит. Предложените от участника дидактически методи изцяло съответстват на предвидените дидактически принципи, като е посочена връзката между тях. Принципите и методите са разнообразни и съобразени с целевата група и очакваните знания и умения, които следва да придобият обучаваните. Описани са подробно учебните материали, които ще използва при прилагане на отделните методи и са аргументирани случаите, при които определен метод не изисква предварително разработени учебни материали.</w:t>
            </w:r>
          </w:p>
          <w:p w14:paraId="15F7A27E" w14:textId="2BB437D9" w:rsidR="00726FF4" w:rsidRDefault="00726FF4" w:rsidP="0032282C">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27 точки получава участник, който в анализа е съобразил предвидените дидактически принципи с особеностите на всяка целева група, като е отчетен факта, че се провежда обучение на възрастни с известен професионален и жизнен опит. Предложените от участника дидактически методи не кореспондират изцяло с предвидените дидактически принципи, н</w:t>
            </w:r>
            <w:r w:rsidR="009B5830">
              <w:rPr>
                <w:rFonts w:ascii="Verdana" w:eastAsia="Times New Roman" w:hAnsi="Verdana" w:cs="Times New Roman"/>
                <w:sz w:val="20"/>
                <w:szCs w:val="20"/>
                <w:lang w:val="bg-BG"/>
              </w:rPr>
              <w:t>о</w:t>
            </w:r>
            <w:r>
              <w:rPr>
                <w:rFonts w:ascii="Verdana" w:eastAsia="Times New Roman" w:hAnsi="Verdana" w:cs="Times New Roman"/>
                <w:sz w:val="20"/>
                <w:szCs w:val="20"/>
                <w:lang w:val="bg-BG"/>
              </w:rPr>
              <w:t xml:space="preserve"> </w:t>
            </w:r>
            <w:r w:rsidR="009B5830">
              <w:rPr>
                <w:rFonts w:ascii="Verdana" w:eastAsia="Times New Roman" w:hAnsi="Verdana" w:cs="Times New Roman"/>
                <w:sz w:val="20"/>
                <w:szCs w:val="20"/>
                <w:lang w:val="bg-BG"/>
              </w:rPr>
              <w:t>е посочена</w:t>
            </w:r>
            <w:r>
              <w:rPr>
                <w:rFonts w:ascii="Verdana" w:eastAsia="Times New Roman" w:hAnsi="Verdana" w:cs="Times New Roman"/>
                <w:sz w:val="20"/>
                <w:szCs w:val="20"/>
                <w:lang w:val="bg-BG"/>
              </w:rPr>
              <w:t xml:space="preserve"> връзката между тях. Принципите и методите са разнообразни и съобразени с целевата група и очакваните знания и умения, които следва да придобият обучаваните. </w:t>
            </w:r>
            <w:r w:rsidRPr="004A1CA1">
              <w:rPr>
                <w:rFonts w:ascii="Verdana" w:eastAsia="Times New Roman" w:hAnsi="Verdana" w:cs="Times New Roman"/>
                <w:sz w:val="20"/>
                <w:szCs w:val="20"/>
                <w:lang w:val="bg-BG"/>
              </w:rPr>
              <w:t>Описани са подробно учебните материали, които ще използва при прилагане на отделните методи и са аргументирани случаите, при които определен метод не изисква предварително разработени учебни материали.</w:t>
            </w:r>
          </w:p>
          <w:p w14:paraId="2D8FED0A" w14:textId="65ADCF69" w:rsidR="00726FF4" w:rsidRDefault="00726FF4" w:rsidP="0032282C">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18 точки получава участник, който в анализа е съобразил предвидените дидактически принципи с особеностите на всяка целева група, като е отчетен факта, че се провежда обучение на възрастни с известен професионален и жизнен опит. </w:t>
            </w:r>
            <w:r w:rsidR="009B5830" w:rsidRPr="009B5830">
              <w:rPr>
                <w:rFonts w:ascii="Verdana" w:eastAsia="Times New Roman" w:hAnsi="Verdana" w:cs="Times New Roman"/>
                <w:sz w:val="20"/>
                <w:szCs w:val="20"/>
                <w:lang w:val="bg-BG"/>
              </w:rPr>
              <w:t>Предложените от участника дидактически методи не кореспондират изцяло с предвидените дидактически принципи, н</w:t>
            </w:r>
            <w:r w:rsidR="009B5830">
              <w:rPr>
                <w:rFonts w:ascii="Verdana" w:eastAsia="Times New Roman" w:hAnsi="Verdana" w:cs="Times New Roman"/>
                <w:sz w:val="20"/>
                <w:szCs w:val="20"/>
                <w:lang w:val="bg-BG"/>
              </w:rPr>
              <w:t>о</w:t>
            </w:r>
            <w:r w:rsidR="009B5830" w:rsidRPr="009B5830">
              <w:rPr>
                <w:rFonts w:ascii="Verdana" w:eastAsia="Times New Roman" w:hAnsi="Verdana" w:cs="Times New Roman"/>
                <w:sz w:val="20"/>
                <w:szCs w:val="20"/>
                <w:lang w:val="bg-BG"/>
              </w:rPr>
              <w:t xml:space="preserve"> е </w:t>
            </w:r>
            <w:r w:rsidR="009B5830">
              <w:rPr>
                <w:rFonts w:ascii="Verdana" w:eastAsia="Times New Roman" w:hAnsi="Verdana" w:cs="Times New Roman"/>
                <w:sz w:val="20"/>
                <w:szCs w:val="20"/>
                <w:lang w:val="bg-BG"/>
              </w:rPr>
              <w:t xml:space="preserve">посочена </w:t>
            </w:r>
            <w:r w:rsidR="009B5830" w:rsidRPr="009B5830">
              <w:rPr>
                <w:rFonts w:ascii="Verdana" w:eastAsia="Times New Roman" w:hAnsi="Verdana" w:cs="Times New Roman"/>
                <w:sz w:val="20"/>
                <w:szCs w:val="20"/>
                <w:lang w:val="bg-BG"/>
              </w:rPr>
              <w:t xml:space="preserve">връзката между тях. </w:t>
            </w:r>
            <w:r>
              <w:rPr>
                <w:rFonts w:ascii="Verdana" w:eastAsia="Times New Roman" w:hAnsi="Verdana" w:cs="Times New Roman"/>
                <w:sz w:val="20"/>
                <w:szCs w:val="20"/>
                <w:lang w:val="bg-BG"/>
              </w:rPr>
              <w:t>Принципите и методите не са разнообразни, но са съобразени с целевата група и очакваните знания и умения, които следва да придобият обучаваните. Не са описани подробно учебните материали, които ще използва при прилагане на отделните методи, но са аргументирани случаите, при които определен метод не изисква предварително разработени учебни материали.</w:t>
            </w:r>
          </w:p>
          <w:p w14:paraId="132FA3C3" w14:textId="3D9E34CD" w:rsidR="00726FF4" w:rsidRPr="004A1CA1" w:rsidRDefault="00726FF4" w:rsidP="009B5830">
            <w:pPr>
              <w:spacing w:before="60" w:after="60" w:line="240" w:lineRule="auto"/>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9 точки получава участник, който в анализа е съобразил предвидените дидактически принципи с особеностите на всяка целева група, като е отчетен факта, че се провежда обучение на възрастни с известен професионален и жизнен опит. </w:t>
            </w:r>
            <w:r w:rsidR="009B5830" w:rsidRPr="009B5830">
              <w:rPr>
                <w:rFonts w:ascii="Verdana" w:eastAsia="Times New Roman" w:hAnsi="Verdana" w:cs="Times New Roman"/>
                <w:sz w:val="20"/>
                <w:szCs w:val="20"/>
                <w:lang w:val="bg-BG"/>
              </w:rPr>
              <w:t>Предложените от участника дидактически методи не кореспондират изцяло с предвидените дидактически принципи, н</w:t>
            </w:r>
            <w:r w:rsidR="009B5830">
              <w:rPr>
                <w:rFonts w:ascii="Verdana" w:eastAsia="Times New Roman" w:hAnsi="Verdana" w:cs="Times New Roman"/>
                <w:sz w:val="20"/>
                <w:szCs w:val="20"/>
                <w:lang w:val="bg-BG"/>
              </w:rPr>
              <w:t>е</w:t>
            </w:r>
            <w:r w:rsidR="009B5830" w:rsidRPr="009B5830">
              <w:rPr>
                <w:rFonts w:ascii="Verdana" w:eastAsia="Times New Roman" w:hAnsi="Verdana" w:cs="Times New Roman"/>
                <w:sz w:val="20"/>
                <w:szCs w:val="20"/>
                <w:lang w:val="bg-BG"/>
              </w:rPr>
              <w:t xml:space="preserve"> е посочена връзката между тях. </w:t>
            </w:r>
            <w:r>
              <w:rPr>
                <w:rFonts w:ascii="Verdana" w:eastAsia="Times New Roman" w:hAnsi="Verdana" w:cs="Times New Roman"/>
                <w:sz w:val="20"/>
                <w:szCs w:val="20"/>
                <w:lang w:val="bg-BG"/>
              </w:rPr>
              <w:t>Принципите и методите не са разнообразни, като не е прилаган принципа за активност на обучаваните и не са съобразени с целевата група и очакваните знания и умения, които следва да придобият обучаваните. Не са описани подробно учебните материали, които ще използва при прилагане на отделните методи, като няма аргументация, в случаите, при които определен метод не изисква предварително разработени учебни материали.</w:t>
            </w:r>
          </w:p>
        </w:tc>
        <w:tc>
          <w:tcPr>
            <w:tcW w:w="1462" w:type="pct"/>
            <w:tcBorders>
              <w:top w:val="single" w:sz="4" w:space="0" w:color="auto"/>
              <w:left w:val="single" w:sz="4" w:space="0" w:color="auto"/>
              <w:bottom w:val="single" w:sz="4" w:space="0" w:color="auto"/>
              <w:right w:val="single" w:sz="4" w:space="0" w:color="auto"/>
            </w:tcBorders>
            <w:shd w:val="clear" w:color="auto" w:fill="FFFF99"/>
            <w:vAlign w:val="center"/>
          </w:tcPr>
          <w:p w14:paraId="25AA2843" w14:textId="7510444A" w:rsidR="00726FF4" w:rsidRDefault="00726FF4" w:rsidP="00AF648E">
            <w:pPr>
              <w:spacing w:before="60" w:after="60" w:line="240" w:lineRule="auto"/>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9-36</w:t>
            </w:r>
          </w:p>
        </w:tc>
      </w:tr>
    </w:tbl>
    <w:p w14:paraId="6C78363A" w14:textId="77A07795" w:rsidR="005F4E35" w:rsidRPr="005F4E35" w:rsidRDefault="004E1251" w:rsidP="005F4E35">
      <w:pPr>
        <w:spacing w:before="60" w:after="60" w:line="240" w:lineRule="auto"/>
        <w:ind w:firstLine="708"/>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По </w:t>
      </w:r>
      <w:proofErr w:type="spellStart"/>
      <w:r w:rsidR="005F4E35" w:rsidRPr="005F4E35">
        <w:rPr>
          <w:rFonts w:ascii="Verdana" w:eastAsia="Times New Roman" w:hAnsi="Verdana" w:cs="Times New Roman"/>
          <w:sz w:val="20"/>
          <w:szCs w:val="20"/>
          <w:lang w:val="bg-BG"/>
        </w:rPr>
        <w:t>Подпоказател</w:t>
      </w:r>
      <w:proofErr w:type="spellEnd"/>
      <w:r w:rsidR="005F4E35" w:rsidRPr="005F4E35">
        <w:rPr>
          <w:rFonts w:ascii="Verdana" w:eastAsia="Times New Roman" w:hAnsi="Verdana" w:cs="Times New Roman"/>
          <w:sz w:val="20"/>
          <w:szCs w:val="20"/>
          <w:lang w:val="bg-BG"/>
        </w:rPr>
        <w:t xml:space="preserve"> </w:t>
      </w:r>
      <w:r w:rsidR="005F4E35" w:rsidRPr="005F4E35">
        <w:rPr>
          <w:rFonts w:ascii="Verdana" w:eastAsia="Times New Roman" w:hAnsi="Verdana" w:cs="Times New Roman"/>
          <w:b/>
          <w:sz w:val="20"/>
          <w:szCs w:val="20"/>
          <w:lang w:val="bg-BG"/>
        </w:rPr>
        <w:t>П.1.1 – Категория Хотели</w:t>
      </w:r>
      <w:r w:rsidR="005F4E35" w:rsidRPr="005F4E35">
        <w:rPr>
          <w:rFonts w:ascii="Verdana" w:eastAsia="Times New Roman" w:hAnsi="Verdana" w:cs="Times New Roman"/>
          <w:sz w:val="20"/>
          <w:szCs w:val="20"/>
          <w:lang w:val="bg-BG"/>
        </w:rPr>
        <w:t xml:space="preserve"> – всеки участник следва да предложи в своето техническо предложение </w:t>
      </w:r>
      <w:r w:rsidR="005F4E35" w:rsidRPr="005F4E35">
        <w:rPr>
          <w:rFonts w:ascii="Verdana" w:eastAsia="Times New Roman" w:hAnsi="Verdana" w:cs="Times New Roman"/>
          <w:b/>
          <w:sz w:val="20"/>
          <w:szCs w:val="20"/>
          <w:lang w:val="bg-BG"/>
        </w:rPr>
        <w:t>3, 4 или 5-звездни</w:t>
      </w:r>
      <w:r w:rsidR="005F4E35" w:rsidRPr="005F4E35">
        <w:rPr>
          <w:rFonts w:ascii="Verdana" w:eastAsia="Times New Roman" w:hAnsi="Verdana" w:cs="Times New Roman"/>
          <w:sz w:val="20"/>
          <w:szCs w:val="20"/>
          <w:lang w:val="bg-BG"/>
        </w:rPr>
        <w:t xml:space="preserve"> хотели, които ще осигури за провеждане на обученията, предмет на настоящата обществена поръчка. Категорията на хотелите в </w:t>
      </w:r>
      <w:r w:rsidR="004A2309">
        <w:rPr>
          <w:rFonts w:ascii="Verdana" w:eastAsia="Times New Roman" w:hAnsi="Verdana" w:cs="Times New Roman"/>
          <w:sz w:val="20"/>
          <w:szCs w:val="20"/>
          <w:lang w:val="bg-BG"/>
        </w:rPr>
        <w:t>петте</w:t>
      </w:r>
      <w:r w:rsidR="005F4E35" w:rsidRPr="005F4E35">
        <w:rPr>
          <w:rFonts w:ascii="Verdana" w:eastAsia="Times New Roman" w:hAnsi="Verdana" w:cs="Times New Roman"/>
          <w:sz w:val="20"/>
          <w:szCs w:val="20"/>
          <w:lang w:val="bg-BG"/>
        </w:rPr>
        <w:t xml:space="preserve"> града може да бъде различна, като това ще бъде отразено при точковото оценяване по този показател. Най-много точки получават предложените 5* хотели, а най-малко предложените 3* хотели. Категория 3* е минималната категория на хотел, която участниците могат да предлагат.</w:t>
      </w:r>
      <w:r w:rsidR="005F4E35" w:rsidRPr="005F4E35">
        <w:rPr>
          <w:rFonts w:ascii="Verdana" w:eastAsia="Times New Roman" w:hAnsi="Verdana" w:cs="Times New Roman"/>
          <w:sz w:val="20"/>
          <w:szCs w:val="20"/>
        </w:rPr>
        <w:t xml:space="preserve"> </w:t>
      </w:r>
      <w:r w:rsidR="005F4E35" w:rsidRPr="005F4E35">
        <w:rPr>
          <w:rFonts w:ascii="Verdana" w:eastAsia="Times New Roman" w:hAnsi="Verdana" w:cs="Times New Roman"/>
          <w:sz w:val="20"/>
          <w:szCs w:val="20"/>
          <w:lang w:val="bg-BG"/>
        </w:rPr>
        <w:t xml:space="preserve">Броя на получените точки за всеки град се сумира и това дава общата точкова оценка по </w:t>
      </w:r>
      <w:proofErr w:type="spellStart"/>
      <w:r w:rsidR="005F4E35" w:rsidRPr="005F4E35">
        <w:rPr>
          <w:rFonts w:ascii="Verdana" w:eastAsia="Times New Roman" w:hAnsi="Verdana" w:cs="Times New Roman"/>
          <w:sz w:val="20"/>
          <w:szCs w:val="20"/>
          <w:lang w:val="bg-BG"/>
        </w:rPr>
        <w:t>подпоказател</w:t>
      </w:r>
      <w:proofErr w:type="spellEnd"/>
      <w:r w:rsidR="005F4E35" w:rsidRPr="005F4E35">
        <w:rPr>
          <w:rFonts w:ascii="Verdana" w:eastAsia="Times New Roman" w:hAnsi="Verdana" w:cs="Times New Roman"/>
          <w:sz w:val="20"/>
          <w:szCs w:val="20"/>
          <w:lang w:val="bg-BG"/>
        </w:rPr>
        <w:t xml:space="preserve"> </w:t>
      </w:r>
      <w:r w:rsidR="005F4E35" w:rsidRPr="005F4E35">
        <w:rPr>
          <w:rFonts w:ascii="Verdana" w:eastAsia="Times New Roman" w:hAnsi="Verdana" w:cs="Times New Roman"/>
          <w:b/>
          <w:sz w:val="20"/>
          <w:szCs w:val="20"/>
          <w:lang w:val="bg-BG"/>
        </w:rPr>
        <w:t xml:space="preserve">П.1.1. </w:t>
      </w:r>
      <w:r w:rsidR="005F4E35" w:rsidRPr="005F4E35">
        <w:rPr>
          <w:rFonts w:ascii="Verdana" w:eastAsia="Times New Roman" w:hAnsi="Verdana" w:cs="Times New Roman"/>
          <w:sz w:val="20"/>
          <w:szCs w:val="20"/>
          <w:lang w:val="bg-BG"/>
        </w:rPr>
        <w:t xml:space="preserve">За всеки от 5-звездните хотели, които участник предложи ще получи </w:t>
      </w:r>
      <w:r w:rsidR="004A2309">
        <w:rPr>
          <w:rFonts w:ascii="Verdana" w:eastAsia="Times New Roman" w:hAnsi="Verdana" w:cs="Times New Roman"/>
          <w:sz w:val="20"/>
          <w:szCs w:val="20"/>
          <w:lang w:val="bg-BG"/>
        </w:rPr>
        <w:t>8</w:t>
      </w:r>
      <w:r w:rsidR="005F4E35" w:rsidRPr="005F4E35">
        <w:rPr>
          <w:rFonts w:ascii="Verdana" w:eastAsia="Times New Roman" w:hAnsi="Verdana" w:cs="Times New Roman"/>
          <w:sz w:val="20"/>
          <w:szCs w:val="20"/>
          <w:lang w:val="bg-BG"/>
        </w:rPr>
        <w:t xml:space="preserve"> точки, за 4-звездните - </w:t>
      </w:r>
      <w:r w:rsidR="004A2309">
        <w:rPr>
          <w:rFonts w:ascii="Verdana" w:eastAsia="Times New Roman" w:hAnsi="Verdana" w:cs="Times New Roman"/>
          <w:sz w:val="20"/>
          <w:szCs w:val="20"/>
          <w:lang w:val="bg-BG"/>
        </w:rPr>
        <w:t>6</w:t>
      </w:r>
      <w:r w:rsidR="005F4E35" w:rsidRPr="005F4E35">
        <w:rPr>
          <w:rFonts w:ascii="Verdana" w:eastAsia="Times New Roman" w:hAnsi="Verdana" w:cs="Times New Roman"/>
          <w:sz w:val="20"/>
          <w:szCs w:val="20"/>
          <w:lang w:val="bg-BG"/>
        </w:rPr>
        <w:t xml:space="preserve"> точки, а за 3-звездните – </w:t>
      </w:r>
      <w:r w:rsidR="004A2309">
        <w:rPr>
          <w:rFonts w:ascii="Verdana" w:eastAsia="Times New Roman" w:hAnsi="Verdana" w:cs="Times New Roman"/>
          <w:sz w:val="20"/>
          <w:szCs w:val="20"/>
          <w:lang w:val="bg-BG"/>
        </w:rPr>
        <w:t>4</w:t>
      </w:r>
      <w:r w:rsidR="005F4E35" w:rsidRPr="005F4E35">
        <w:rPr>
          <w:rFonts w:ascii="Verdana" w:eastAsia="Times New Roman" w:hAnsi="Verdana" w:cs="Times New Roman"/>
          <w:sz w:val="20"/>
          <w:szCs w:val="20"/>
          <w:lang w:val="bg-BG"/>
        </w:rPr>
        <w:t xml:space="preserve"> точки.</w:t>
      </w:r>
    </w:p>
    <w:p w14:paraId="6D39EABE" w14:textId="4A83D7A0" w:rsidR="00AF648E" w:rsidRDefault="005F4E35" w:rsidP="005F4E35">
      <w:pPr>
        <w:spacing w:before="60" w:after="60" w:line="240" w:lineRule="auto"/>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ab/>
        <w:t xml:space="preserve">По </w:t>
      </w:r>
      <w:proofErr w:type="spellStart"/>
      <w:r w:rsidRPr="005F4E35">
        <w:rPr>
          <w:rFonts w:ascii="Verdana" w:eastAsia="Times New Roman" w:hAnsi="Verdana" w:cs="Times New Roman"/>
          <w:sz w:val="20"/>
          <w:szCs w:val="20"/>
          <w:lang w:val="bg-BG"/>
        </w:rPr>
        <w:t>Подпоказател</w:t>
      </w:r>
      <w:proofErr w:type="spellEnd"/>
      <w:r w:rsidRPr="005F4E35">
        <w:rPr>
          <w:rFonts w:ascii="Verdana" w:eastAsia="Times New Roman" w:hAnsi="Verdana" w:cs="Times New Roman"/>
          <w:sz w:val="20"/>
          <w:szCs w:val="20"/>
          <w:lang w:val="bg-BG"/>
        </w:rPr>
        <w:t xml:space="preserve">  </w:t>
      </w:r>
      <w:r w:rsidRPr="005F4E35">
        <w:rPr>
          <w:rFonts w:ascii="Verdana" w:eastAsia="Times New Roman" w:hAnsi="Verdana" w:cs="Times New Roman"/>
          <w:b/>
          <w:sz w:val="20"/>
          <w:szCs w:val="20"/>
          <w:lang w:val="bg-BG"/>
        </w:rPr>
        <w:t xml:space="preserve">П.1.2 – </w:t>
      </w:r>
      <w:r w:rsidR="00AF648E">
        <w:rPr>
          <w:rFonts w:ascii="Verdana" w:eastAsia="Times New Roman" w:hAnsi="Verdana" w:cs="Times New Roman"/>
          <w:b/>
          <w:sz w:val="20"/>
          <w:szCs w:val="20"/>
          <w:lang w:val="bg-BG"/>
        </w:rPr>
        <w:t>Разбиране на потребностите от обучения на отделните целеви групи– служители на ИА ГИТ</w:t>
      </w:r>
      <w:r w:rsidRPr="005F4E35">
        <w:rPr>
          <w:rFonts w:ascii="Verdana" w:eastAsia="Times New Roman" w:hAnsi="Verdana" w:cs="Times New Roman"/>
          <w:sz w:val="20"/>
          <w:szCs w:val="20"/>
          <w:lang w:val="bg-BG"/>
        </w:rPr>
        <w:t xml:space="preserve"> </w:t>
      </w:r>
      <w:r w:rsidR="00AF648E">
        <w:rPr>
          <w:rFonts w:ascii="Verdana" w:eastAsia="Times New Roman" w:hAnsi="Verdana" w:cs="Times New Roman"/>
          <w:sz w:val="20"/>
          <w:szCs w:val="20"/>
          <w:lang w:val="bg-BG"/>
        </w:rPr>
        <w:t>–</w:t>
      </w:r>
      <w:r w:rsidRPr="005F4E35">
        <w:rPr>
          <w:rFonts w:ascii="Verdana" w:eastAsia="Times New Roman" w:hAnsi="Verdana" w:cs="Times New Roman"/>
          <w:sz w:val="20"/>
          <w:szCs w:val="20"/>
          <w:lang w:val="bg-BG"/>
        </w:rPr>
        <w:t xml:space="preserve"> </w:t>
      </w:r>
      <w:r w:rsidR="00AF648E">
        <w:rPr>
          <w:rFonts w:ascii="Verdana" w:eastAsia="Times New Roman" w:hAnsi="Verdana" w:cs="Times New Roman"/>
          <w:sz w:val="20"/>
          <w:szCs w:val="20"/>
          <w:lang w:val="bg-BG"/>
        </w:rPr>
        <w:t>в своето техническо предлож</w:t>
      </w:r>
      <w:r w:rsidR="00726FF4">
        <w:rPr>
          <w:rFonts w:ascii="Verdana" w:eastAsia="Times New Roman" w:hAnsi="Verdana" w:cs="Times New Roman"/>
          <w:sz w:val="20"/>
          <w:szCs w:val="20"/>
          <w:lang w:val="bg-BG"/>
        </w:rPr>
        <w:t>е</w:t>
      </w:r>
      <w:r w:rsidR="00AF648E">
        <w:rPr>
          <w:rFonts w:ascii="Verdana" w:eastAsia="Times New Roman" w:hAnsi="Verdana" w:cs="Times New Roman"/>
          <w:sz w:val="20"/>
          <w:szCs w:val="20"/>
          <w:lang w:val="bg-BG"/>
        </w:rPr>
        <w:t xml:space="preserve">ние, </w:t>
      </w:r>
      <w:r w:rsidRPr="005F4E35">
        <w:rPr>
          <w:rFonts w:ascii="Verdana" w:eastAsia="Times New Roman" w:hAnsi="Verdana" w:cs="Times New Roman"/>
          <w:sz w:val="20"/>
          <w:szCs w:val="20"/>
          <w:lang w:val="bg-BG"/>
        </w:rPr>
        <w:t>всеки участник</w:t>
      </w:r>
      <w:r w:rsidR="00AF648E">
        <w:rPr>
          <w:rFonts w:ascii="Verdana" w:eastAsia="Times New Roman" w:hAnsi="Verdana" w:cs="Times New Roman"/>
          <w:sz w:val="20"/>
          <w:szCs w:val="20"/>
          <w:lang w:val="bg-BG"/>
        </w:rPr>
        <w:t xml:space="preserve"> </w:t>
      </w:r>
      <w:r w:rsidRPr="005F4E35">
        <w:rPr>
          <w:rFonts w:ascii="Verdana" w:eastAsia="Times New Roman" w:hAnsi="Verdana" w:cs="Times New Roman"/>
          <w:sz w:val="20"/>
          <w:szCs w:val="20"/>
          <w:lang w:val="bg-BG"/>
        </w:rPr>
        <w:t xml:space="preserve">трябва да </w:t>
      </w:r>
      <w:r w:rsidR="00AF648E">
        <w:rPr>
          <w:rFonts w:ascii="Verdana" w:eastAsia="Times New Roman" w:hAnsi="Verdana" w:cs="Times New Roman"/>
          <w:sz w:val="20"/>
          <w:szCs w:val="20"/>
          <w:lang w:val="bg-BG"/>
        </w:rPr>
        <w:t xml:space="preserve">представи анализ на отделните целеви групи в контекста на дейността на ИА ГИТ, като в този анализ посочи очакваните нови знания и умения, които обучаваните ще придобият в края на обучението. Анализът следва да отчита факта, че всички участници в обучението са с висше образование с различни специалности, с  изключение на групата юрисконсулти, в която всички са с юридическо образование. </w:t>
      </w:r>
    </w:p>
    <w:p w14:paraId="3613422C" w14:textId="21C8C4BE" w:rsidR="009A22DF" w:rsidRPr="009A22DF" w:rsidRDefault="009A22DF" w:rsidP="005F4E35">
      <w:pPr>
        <w:spacing w:before="60" w:after="6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ab/>
        <w:t xml:space="preserve">По </w:t>
      </w:r>
      <w:proofErr w:type="spellStart"/>
      <w:r>
        <w:rPr>
          <w:rFonts w:ascii="Verdana" w:eastAsia="Times New Roman" w:hAnsi="Verdana" w:cs="Times New Roman"/>
          <w:sz w:val="20"/>
          <w:szCs w:val="20"/>
          <w:lang w:val="bg-BG"/>
        </w:rPr>
        <w:t>Подпоказател</w:t>
      </w:r>
      <w:proofErr w:type="spellEnd"/>
      <w:r>
        <w:rPr>
          <w:rFonts w:ascii="Verdana" w:eastAsia="Times New Roman" w:hAnsi="Verdana" w:cs="Times New Roman"/>
          <w:sz w:val="20"/>
          <w:szCs w:val="20"/>
          <w:lang w:val="bg-BG"/>
        </w:rPr>
        <w:t xml:space="preserve"> П.1.3. - </w:t>
      </w:r>
      <w:r>
        <w:rPr>
          <w:rFonts w:ascii="Verdana" w:eastAsia="Times New Roman" w:hAnsi="Verdana" w:cs="Times New Roman"/>
          <w:b/>
          <w:sz w:val="20"/>
          <w:szCs w:val="20"/>
          <w:lang w:val="bg-BG"/>
        </w:rPr>
        <w:t xml:space="preserve">Дидактически анализ и прилагани дидактически принципи. </w:t>
      </w:r>
      <w:r>
        <w:rPr>
          <w:rFonts w:ascii="Verdana" w:eastAsia="Times New Roman" w:hAnsi="Verdana" w:cs="Times New Roman"/>
          <w:sz w:val="20"/>
          <w:szCs w:val="20"/>
          <w:lang w:val="bg-BG"/>
        </w:rPr>
        <w:t>Въз основа на анализа на основните целеви групи, участника следва да посочи и аргументира в своето техническ</w:t>
      </w:r>
      <w:r w:rsidR="00990FA6">
        <w:rPr>
          <w:rFonts w:ascii="Verdana" w:eastAsia="Times New Roman" w:hAnsi="Verdana" w:cs="Times New Roman"/>
          <w:sz w:val="20"/>
          <w:szCs w:val="20"/>
          <w:lang w:val="bg-BG"/>
        </w:rPr>
        <w:t>о</w:t>
      </w:r>
      <w:r>
        <w:rPr>
          <w:rFonts w:ascii="Verdana" w:eastAsia="Times New Roman" w:hAnsi="Verdana" w:cs="Times New Roman"/>
          <w:sz w:val="20"/>
          <w:szCs w:val="20"/>
          <w:lang w:val="bg-BG"/>
        </w:rPr>
        <w:t xml:space="preserve"> предложение, основните принципи на </w:t>
      </w:r>
      <w:r>
        <w:rPr>
          <w:rFonts w:ascii="Verdana" w:eastAsia="Times New Roman" w:hAnsi="Verdana" w:cs="Times New Roman"/>
          <w:sz w:val="20"/>
          <w:szCs w:val="20"/>
          <w:lang w:val="bg-BG"/>
        </w:rPr>
        <w:lastRenderedPageBreak/>
        <w:t>дидактиката, които ще използва, предвидените дидактическите методи и учебните материали, които ще разработи и използва при прилагане на тези методи.</w:t>
      </w:r>
    </w:p>
    <w:p w14:paraId="382F819F" w14:textId="77777777" w:rsidR="00AF648E" w:rsidRDefault="00AF648E" w:rsidP="005F4E35">
      <w:pPr>
        <w:spacing w:before="60" w:after="60" w:line="240" w:lineRule="auto"/>
        <w:jc w:val="both"/>
        <w:rPr>
          <w:rFonts w:ascii="Verdana" w:eastAsia="Times New Roman" w:hAnsi="Verdana" w:cs="Times New Roman"/>
          <w:sz w:val="20"/>
          <w:szCs w:val="20"/>
          <w:lang w:val="bg-BG"/>
        </w:rPr>
      </w:pPr>
    </w:p>
    <w:p w14:paraId="20A42A91" w14:textId="77777777" w:rsidR="005F4E35" w:rsidRPr="005F4E35" w:rsidRDefault="005F4E35" w:rsidP="005F4E35">
      <w:pPr>
        <w:spacing w:before="60" w:after="60" w:line="240" w:lineRule="auto"/>
        <w:jc w:val="both"/>
        <w:rPr>
          <w:rFonts w:ascii="Verdana" w:eastAsia="Times New Roman" w:hAnsi="Verdana" w:cs="Times New Roman"/>
          <w:b/>
          <w:sz w:val="20"/>
          <w:szCs w:val="20"/>
        </w:rPr>
      </w:pPr>
      <w:r w:rsidRPr="005F4E35">
        <w:rPr>
          <w:rFonts w:ascii="Verdana" w:eastAsia="Times New Roman" w:hAnsi="Verdana" w:cs="Times New Roman"/>
          <w:sz w:val="20"/>
          <w:szCs w:val="20"/>
        </w:rPr>
        <w:tab/>
      </w:r>
    </w:p>
    <w:p w14:paraId="5501C1AF" w14:textId="2E1A91ED" w:rsidR="005F4E35" w:rsidRPr="005F4E35" w:rsidRDefault="005F4E35" w:rsidP="005F4E35">
      <w:pPr>
        <w:spacing w:before="60" w:after="60" w:line="240" w:lineRule="auto"/>
        <w:ind w:firstLine="708"/>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 xml:space="preserve">Така определените точки по </w:t>
      </w:r>
      <w:proofErr w:type="spellStart"/>
      <w:r w:rsidRPr="005F4E35">
        <w:rPr>
          <w:rFonts w:ascii="Verdana" w:eastAsia="Times New Roman" w:hAnsi="Verdana" w:cs="Times New Roman"/>
          <w:sz w:val="20"/>
          <w:szCs w:val="20"/>
          <w:lang w:val="bg-BG"/>
        </w:rPr>
        <w:t>подпоказателите</w:t>
      </w:r>
      <w:proofErr w:type="spellEnd"/>
      <w:r w:rsidRPr="005F4E35">
        <w:rPr>
          <w:rFonts w:ascii="Verdana" w:eastAsia="Times New Roman" w:hAnsi="Verdana" w:cs="Times New Roman"/>
          <w:sz w:val="20"/>
          <w:szCs w:val="20"/>
          <w:lang w:val="bg-BG"/>
        </w:rPr>
        <w:t xml:space="preserve"> на техническата оценка на предложението (П1.1,  П1.2</w:t>
      </w:r>
      <w:r w:rsidR="00726FF4">
        <w:rPr>
          <w:rFonts w:ascii="Verdana" w:eastAsia="Times New Roman" w:hAnsi="Verdana" w:cs="Times New Roman"/>
          <w:sz w:val="20"/>
          <w:szCs w:val="20"/>
          <w:lang w:val="bg-BG"/>
        </w:rPr>
        <w:t>, и П1.3</w:t>
      </w:r>
      <w:r w:rsidRPr="005F4E35">
        <w:rPr>
          <w:rFonts w:ascii="Verdana" w:eastAsia="Times New Roman" w:hAnsi="Verdana" w:cs="Times New Roman"/>
          <w:sz w:val="20"/>
          <w:szCs w:val="20"/>
          <w:lang w:val="bg-BG"/>
        </w:rPr>
        <w:t>)</w:t>
      </w:r>
      <w:r w:rsidR="00726FF4">
        <w:rPr>
          <w:rFonts w:ascii="Verdana" w:eastAsia="Times New Roman" w:hAnsi="Verdana" w:cs="Times New Roman"/>
          <w:sz w:val="20"/>
          <w:szCs w:val="20"/>
          <w:lang w:val="bg-BG"/>
        </w:rPr>
        <w:t xml:space="preserve"> се сумират по следния начин</w:t>
      </w:r>
      <w:r w:rsidRPr="005F4E35">
        <w:rPr>
          <w:rFonts w:ascii="Verdana" w:eastAsia="Times New Roman" w:hAnsi="Verdana" w:cs="Times New Roman"/>
          <w:sz w:val="20"/>
          <w:szCs w:val="20"/>
          <w:lang w:val="bg-BG"/>
        </w:rPr>
        <w:t>:</w:t>
      </w:r>
    </w:p>
    <w:p w14:paraId="3F703B94" w14:textId="7B52F2AD" w:rsidR="005F4E35" w:rsidRPr="005F4E35" w:rsidRDefault="000567AE" w:rsidP="005F4E35">
      <w:pPr>
        <w:spacing w:before="60" w:after="60" w:line="240" w:lineRule="auto"/>
        <w:ind w:firstLine="708"/>
        <w:jc w:val="both"/>
        <w:rPr>
          <w:rFonts w:ascii="Verdana" w:eastAsia="Times New Roman" w:hAnsi="Verdana" w:cs="Times New Roman"/>
          <w:b/>
          <w:sz w:val="20"/>
          <w:szCs w:val="20"/>
          <w:lang w:val="bg-BG"/>
        </w:rPr>
      </w:pPr>
      <w:r>
        <w:rPr>
          <w:rFonts w:ascii="Verdana" w:eastAsia="Times New Roman" w:hAnsi="Verdana" w:cs="Times New Roman"/>
          <w:b/>
          <w:sz w:val="20"/>
          <w:szCs w:val="20"/>
          <w:lang w:val="bg-BG"/>
        </w:rPr>
        <w:t>П1</w:t>
      </w:r>
      <w:r w:rsidR="00726FF4">
        <w:rPr>
          <w:rFonts w:ascii="Verdana" w:eastAsia="Times New Roman" w:hAnsi="Verdana" w:cs="Times New Roman"/>
          <w:b/>
          <w:sz w:val="20"/>
          <w:szCs w:val="20"/>
        </w:rPr>
        <w:t>n</w:t>
      </w:r>
      <w:r w:rsidR="005F4E35" w:rsidRPr="005F4E35">
        <w:rPr>
          <w:rFonts w:ascii="Verdana" w:eastAsia="Times New Roman" w:hAnsi="Verdana" w:cs="Times New Roman"/>
          <w:b/>
          <w:sz w:val="20"/>
          <w:szCs w:val="20"/>
          <w:lang w:val="bg-BG"/>
        </w:rPr>
        <w:t>= П1.1</w:t>
      </w:r>
      <w:r w:rsidR="00726FF4">
        <w:rPr>
          <w:rFonts w:ascii="Verdana" w:eastAsia="Times New Roman" w:hAnsi="Verdana" w:cs="Times New Roman"/>
          <w:b/>
          <w:sz w:val="20"/>
          <w:szCs w:val="20"/>
        </w:rPr>
        <w:t>n</w:t>
      </w:r>
      <w:r w:rsidR="005F4E35" w:rsidRPr="005F4E35">
        <w:rPr>
          <w:rFonts w:ascii="Verdana" w:eastAsia="Times New Roman" w:hAnsi="Verdana" w:cs="Times New Roman"/>
          <w:b/>
          <w:sz w:val="20"/>
          <w:szCs w:val="20"/>
          <w:lang w:val="bg-BG"/>
        </w:rPr>
        <w:t xml:space="preserve"> + П1.2</w:t>
      </w:r>
      <w:r w:rsidR="00726FF4">
        <w:rPr>
          <w:rFonts w:ascii="Verdana" w:eastAsia="Times New Roman" w:hAnsi="Verdana" w:cs="Times New Roman"/>
          <w:b/>
          <w:sz w:val="20"/>
          <w:szCs w:val="20"/>
        </w:rPr>
        <w:t>n</w:t>
      </w:r>
      <w:r w:rsidR="005F4E35" w:rsidRPr="005F4E35">
        <w:rPr>
          <w:rFonts w:ascii="Verdana" w:eastAsia="Times New Roman" w:hAnsi="Verdana" w:cs="Times New Roman"/>
          <w:b/>
          <w:sz w:val="20"/>
          <w:szCs w:val="20"/>
          <w:lang w:val="bg-BG"/>
        </w:rPr>
        <w:t xml:space="preserve"> </w:t>
      </w:r>
      <w:r w:rsidR="00726FF4">
        <w:rPr>
          <w:rFonts w:ascii="Verdana" w:eastAsia="Times New Roman" w:hAnsi="Verdana" w:cs="Times New Roman"/>
          <w:b/>
          <w:sz w:val="20"/>
          <w:szCs w:val="20"/>
          <w:lang w:val="bg-BG"/>
        </w:rPr>
        <w:t>+ П.1.3</w:t>
      </w:r>
      <w:r w:rsidR="00726FF4">
        <w:rPr>
          <w:rFonts w:ascii="Verdana" w:eastAsia="Times New Roman" w:hAnsi="Verdana" w:cs="Times New Roman"/>
          <w:b/>
          <w:sz w:val="20"/>
          <w:szCs w:val="20"/>
        </w:rPr>
        <w:t>n</w:t>
      </w:r>
      <w:r w:rsidR="005F4E35" w:rsidRPr="005F4E35">
        <w:rPr>
          <w:rFonts w:ascii="Verdana" w:eastAsia="Times New Roman" w:hAnsi="Verdana" w:cs="Times New Roman"/>
          <w:b/>
          <w:sz w:val="20"/>
          <w:szCs w:val="20"/>
          <w:lang w:val="bg-BG"/>
        </w:rPr>
        <w:t xml:space="preserve"> </w:t>
      </w:r>
    </w:p>
    <w:p w14:paraId="4FAA70E9" w14:textId="77777777" w:rsidR="005F4E35" w:rsidRPr="005F4E35" w:rsidRDefault="005F4E35" w:rsidP="005F4E35">
      <w:pPr>
        <w:spacing w:before="60" w:after="60" w:line="240" w:lineRule="auto"/>
        <w:ind w:firstLine="708"/>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където:</w:t>
      </w:r>
    </w:p>
    <w:p w14:paraId="58BA73CF" w14:textId="12ADA5B7" w:rsidR="005F4E35" w:rsidRPr="005F4E35" w:rsidRDefault="00726FF4" w:rsidP="005F4E35">
      <w:pPr>
        <w:spacing w:before="60" w:after="60" w:line="240" w:lineRule="auto"/>
        <w:ind w:firstLine="708"/>
        <w:jc w:val="both"/>
        <w:rPr>
          <w:rFonts w:ascii="Verdana" w:eastAsia="Times New Roman" w:hAnsi="Verdana" w:cs="Times New Roman"/>
          <w:sz w:val="20"/>
          <w:szCs w:val="20"/>
          <w:lang w:val="bg-BG"/>
        </w:rPr>
      </w:pPr>
      <w:r w:rsidRPr="00726FF4">
        <w:rPr>
          <w:rFonts w:ascii="Verdana" w:eastAsia="Times New Roman" w:hAnsi="Verdana" w:cs="Times New Roman"/>
          <w:sz w:val="20"/>
          <w:szCs w:val="20"/>
          <w:lang w:val="bg-BG"/>
        </w:rPr>
        <w:t>П1.1</w:t>
      </w:r>
      <w:r w:rsidRPr="00726FF4">
        <w:rPr>
          <w:rFonts w:ascii="Verdana" w:eastAsia="Times New Roman" w:hAnsi="Verdana" w:cs="Times New Roman"/>
          <w:sz w:val="20"/>
          <w:szCs w:val="20"/>
        </w:rPr>
        <w:t>n</w:t>
      </w:r>
      <w:r>
        <w:rPr>
          <w:rFonts w:ascii="Verdana" w:eastAsia="Times New Roman" w:hAnsi="Verdana" w:cs="Times New Roman"/>
          <w:sz w:val="20"/>
          <w:szCs w:val="20"/>
        </w:rPr>
        <w:t>,</w:t>
      </w:r>
      <w:r w:rsidRPr="00726FF4">
        <w:rPr>
          <w:rFonts w:ascii="Verdana" w:eastAsia="Times New Roman" w:hAnsi="Verdana" w:cs="Times New Roman"/>
          <w:sz w:val="20"/>
          <w:szCs w:val="20"/>
          <w:lang w:val="bg-BG"/>
        </w:rPr>
        <w:t xml:space="preserve"> П1.2</w:t>
      </w:r>
      <w:r w:rsidRPr="00726FF4">
        <w:rPr>
          <w:rFonts w:ascii="Verdana" w:eastAsia="Times New Roman" w:hAnsi="Verdana" w:cs="Times New Roman"/>
          <w:sz w:val="20"/>
          <w:szCs w:val="20"/>
        </w:rPr>
        <w:t>n</w:t>
      </w:r>
      <w:r>
        <w:rPr>
          <w:rFonts w:ascii="Verdana" w:eastAsia="Times New Roman" w:hAnsi="Verdana" w:cs="Times New Roman"/>
          <w:sz w:val="20"/>
          <w:szCs w:val="20"/>
        </w:rPr>
        <w:t>,</w:t>
      </w:r>
      <w:r w:rsidRPr="00726FF4">
        <w:rPr>
          <w:rFonts w:ascii="Verdana" w:eastAsia="Times New Roman" w:hAnsi="Verdana" w:cs="Times New Roman"/>
          <w:sz w:val="20"/>
          <w:szCs w:val="20"/>
          <w:lang w:val="bg-BG"/>
        </w:rPr>
        <w:t xml:space="preserve"> П.1.3</w:t>
      </w:r>
      <w:r w:rsidRPr="00726FF4">
        <w:rPr>
          <w:rFonts w:ascii="Verdana" w:eastAsia="Times New Roman" w:hAnsi="Verdana" w:cs="Times New Roman"/>
          <w:sz w:val="20"/>
          <w:szCs w:val="20"/>
        </w:rPr>
        <w:t>n</w:t>
      </w:r>
      <w:r>
        <w:rPr>
          <w:rFonts w:ascii="Verdana" w:eastAsia="Times New Roman" w:hAnsi="Verdana" w:cs="Times New Roman"/>
          <w:sz w:val="20"/>
          <w:szCs w:val="20"/>
        </w:rPr>
        <w:t xml:space="preserve"> </w:t>
      </w:r>
      <w:r>
        <w:rPr>
          <w:rFonts w:ascii="Verdana" w:eastAsia="Times New Roman" w:hAnsi="Verdana" w:cs="Times New Roman"/>
          <w:sz w:val="20"/>
          <w:szCs w:val="20"/>
          <w:lang w:val="bg-BG"/>
        </w:rPr>
        <w:t xml:space="preserve">са съответните точки на участник </w:t>
      </w:r>
      <w:r>
        <w:rPr>
          <w:rFonts w:ascii="Verdana" w:eastAsia="Times New Roman" w:hAnsi="Verdana" w:cs="Times New Roman"/>
          <w:sz w:val="20"/>
          <w:szCs w:val="20"/>
        </w:rPr>
        <w:t>N</w:t>
      </w:r>
      <w:r w:rsidR="000567AE">
        <w:rPr>
          <w:rFonts w:ascii="Verdana" w:eastAsia="Times New Roman" w:hAnsi="Verdana" w:cs="Times New Roman"/>
          <w:sz w:val="20"/>
          <w:szCs w:val="20"/>
        </w:rPr>
        <w:t xml:space="preserve">, </w:t>
      </w:r>
      <w:r w:rsidR="000567AE">
        <w:rPr>
          <w:rFonts w:ascii="Verdana" w:eastAsia="Times New Roman" w:hAnsi="Verdana" w:cs="Times New Roman"/>
          <w:sz w:val="20"/>
          <w:szCs w:val="20"/>
          <w:lang w:val="bg-BG"/>
        </w:rPr>
        <w:t>(</w:t>
      </w:r>
      <w:r w:rsidR="000567AE" w:rsidRPr="00726FF4">
        <w:rPr>
          <w:rFonts w:ascii="Verdana" w:eastAsia="Times New Roman" w:hAnsi="Verdana" w:cs="Times New Roman"/>
          <w:sz w:val="20"/>
          <w:szCs w:val="20"/>
          <w:lang w:val="bg-BG"/>
        </w:rPr>
        <w:t>П1.2</w:t>
      </w:r>
      <w:r w:rsidR="000567AE" w:rsidRPr="00726FF4">
        <w:rPr>
          <w:rFonts w:ascii="Verdana" w:eastAsia="Times New Roman" w:hAnsi="Verdana" w:cs="Times New Roman"/>
          <w:sz w:val="20"/>
          <w:szCs w:val="20"/>
        </w:rPr>
        <w:t>n</w:t>
      </w:r>
      <w:r w:rsidR="000567AE">
        <w:rPr>
          <w:rFonts w:ascii="Verdana" w:eastAsia="Times New Roman" w:hAnsi="Verdana" w:cs="Times New Roman"/>
          <w:sz w:val="20"/>
          <w:szCs w:val="20"/>
        </w:rPr>
        <w:t>,</w:t>
      </w:r>
      <w:r w:rsidR="000567AE" w:rsidRPr="00726FF4">
        <w:rPr>
          <w:rFonts w:ascii="Verdana" w:eastAsia="Times New Roman" w:hAnsi="Verdana" w:cs="Times New Roman"/>
          <w:sz w:val="20"/>
          <w:szCs w:val="20"/>
          <w:lang w:val="bg-BG"/>
        </w:rPr>
        <w:t xml:space="preserve"> П.1.3</w:t>
      </w:r>
      <w:r w:rsidR="000567AE" w:rsidRPr="00726FF4">
        <w:rPr>
          <w:rFonts w:ascii="Verdana" w:eastAsia="Times New Roman" w:hAnsi="Verdana" w:cs="Times New Roman"/>
          <w:sz w:val="20"/>
          <w:szCs w:val="20"/>
        </w:rPr>
        <w:t>n</w:t>
      </w:r>
      <w:r w:rsidR="000567AE">
        <w:rPr>
          <w:rFonts w:ascii="Verdana" w:eastAsia="Times New Roman" w:hAnsi="Verdana" w:cs="Times New Roman"/>
          <w:sz w:val="20"/>
          <w:szCs w:val="20"/>
        </w:rPr>
        <w:t xml:space="preserve"> </w:t>
      </w:r>
      <w:r w:rsidR="000567AE">
        <w:rPr>
          <w:rFonts w:ascii="Verdana" w:eastAsia="Times New Roman" w:hAnsi="Verdana" w:cs="Times New Roman"/>
          <w:sz w:val="20"/>
          <w:szCs w:val="20"/>
          <w:lang w:val="bg-BG"/>
        </w:rPr>
        <w:t>са</w:t>
      </w:r>
      <w:r w:rsidR="000567AE">
        <w:rPr>
          <w:rFonts w:ascii="Verdana" w:eastAsia="Times New Roman" w:hAnsi="Verdana" w:cs="Times New Roman"/>
          <w:sz w:val="20"/>
          <w:szCs w:val="20"/>
        </w:rPr>
        <w:t xml:space="preserve">  </w:t>
      </w:r>
      <w:r w:rsidR="000567AE">
        <w:rPr>
          <w:rFonts w:ascii="Verdana" w:eastAsia="Times New Roman" w:hAnsi="Verdana" w:cs="Times New Roman"/>
          <w:sz w:val="20"/>
          <w:szCs w:val="20"/>
          <w:lang w:val="bg-BG"/>
        </w:rPr>
        <w:t>получени като средноаритметично от отделните членове на оценителната комисия по съответния показател). П1</w:t>
      </w:r>
      <w:r>
        <w:rPr>
          <w:rFonts w:ascii="Verdana" w:eastAsia="Times New Roman" w:hAnsi="Verdana" w:cs="Times New Roman"/>
          <w:sz w:val="20"/>
          <w:szCs w:val="20"/>
        </w:rPr>
        <w:t>n</w:t>
      </w:r>
      <w:r w:rsidR="005F4E35" w:rsidRPr="005F4E35">
        <w:rPr>
          <w:rFonts w:ascii="Verdana" w:eastAsia="Times New Roman" w:hAnsi="Verdana" w:cs="Times New Roman"/>
          <w:sz w:val="20"/>
          <w:szCs w:val="20"/>
          <w:lang w:val="bg-BG"/>
        </w:rPr>
        <w:t xml:space="preserve"> е общият брой точки (точковата оценка), с които комисията е оценила техническото предложение на участника N;</w:t>
      </w:r>
    </w:p>
    <w:p w14:paraId="71579032" w14:textId="690A1032" w:rsidR="005F4E35" w:rsidRPr="005F4E35" w:rsidRDefault="000567AE" w:rsidP="005F4E35">
      <w:pPr>
        <w:spacing w:before="60" w:after="60" w:line="240" w:lineRule="auto"/>
        <w:ind w:firstLine="708"/>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П1</w:t>
      </w:r>
      <w:r w:rsidR="005F4E35" w:rsidRPr="005F4E35">
        <w:rPr>
          <w:rFonts w:ascii="Verdana" w:eastAsia="Times New Roman" w:hAnsi="Verdana" w:cs="Times New Roman"/>
          <w:sz w:val="20"/>
          <w:szCs w:val="20"/>
          <w:vertAlign w:val="subscript"/>
          <w:lang w:val="bg-BG"/>
        </w:rPr>
        <w:t>N</w:t>
      </w:r>
      <w:r w:rsidR="005F4E35" w:rsidRPr="005F4E35">
        <w:rPr>
          <w:rFonts w:ascii="Verdana" w:eastAsia="Times New Roman" w:hAnsi="Verdana" w:cs="Times New Roman"/>
          <w:sz w:val="20"/>
          <w:szCs w:val="20"/>
          <w:lang w:val="bg-BG"/>
        </w:rPr>
        <w:t xml:space="preserve"> се явява общата точкова оценка, която получава техническото предложение на съответния участник (N);</w:t>
      </w:r>
    </w:p>
    <w:p w14:paraId="4743B99C" w14:textId="5B3CA14C" w:rsidR="005F4E35" w:rsidRPr="005F4E35" w:rsidRDefault="005F4E35" w:rsidP="005F4E35">
      <w:pPr>
        <w:spacing w:before="60" w:after="60" w:line="240" w:lineRule="auto"/>
        <w:ind w:firstLine="708"/>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 xml:space="preserve">Максималната стойност на </w:t>
      </w:r>
      <w:r w:rsidR="000567AE">
        <w:rPr>
          <w:rFonts w:ascii="Verdana" w:eastAsia="Times New Roman" w:hAnsi="Verdana" w:cs="Times New Roman"/>
          <w:sz w:val="20"/>
          <w:szCs w:val="20"/>
          <w:lang w:val="bg-BG"/>
        </w:rPr>
        <w:t>П1</w:t>
      </w:r>
      <w:r w:rsidRPr="005F4E35">
        <w:rPr>
          <w:rFonts w:ascii="Verdana" w:eastAsia="Times New Roman" w:hAnsi="Verdana" w:cs="Times New Roman"/>
          <w:sz w:val="20"/>
          <w:szCs w:val="20"/>
          <w:vertAlign w:val="subscript"/>
          <w:lang w:val="bg-BG"/>
        </w:rPr>
        <w:t>N</w:t>
      </w:r>
      <w:r w:rsidRPr="005F4E35">
        <w:rPr>
          <w:rFonts w:ascii="Verdana" w:eastAsia="Times New Roman" w:hAnsi="Verdana" w:cs="Times New Roman"/>
          <w:sz w:val="20"/>
          <w:szCs w:val="20"/>
          <w:lang w:val="bg-BG"/>
        </w:rPr>
        <w:t xml:space="preserve"> е </w:t>
      </w:r>
      <w:r w:rsidR="00726FF4">
        <w:rPr>
          <w:rFonts w:ascii="Verdana" w:eastAsia="Times New Roman" w:hAnsi="Verdana" w:cs="Times New Roman"/>
          <w:b/>
          <w:sz w:val="20"/>
          <w:szCs w:val="20"/>
          <w:lang w:val="bg-BG"/>
        </w:rPr>
        <w:t>1</w:t>
      </w:r>
      <w:r w:rsidRPr="005F4E35">
        <w:rPr>
          <w:rFonts w:ascii="Verdana" w:eastAsia="Times New Roman" w:hAnsi="Verdana" w:cs="Times New Roman"/>
          <w:b/>
          <w:sz w:val="20"/>
          <w:szCs w:val="20"/>
          <w:lang w:val="bg-BG"/>
        </w:rPr>
        <w:t>00 точки</w:t>
      </w:r>
      <w:r w:rsidRPr="005F4E35">
        <w:rPr>
          <w:rFonts w:ascii="Verdana" w:eastAsia="Times New Roman" w:hAnsi="Verdana" w:cs="Times New Roman"/>
          <w:sz w:val="20"/>
          <w:szCs w:val="20"/>
          <w:lang w:val="bg-BG"/>
        </w:rPr>
        <w:t>.</w:t>
      </w:r>
    </w:p>
    <w:p w14:paraId="1E4B7369" w14:textId="77777777" w:rsidR="000567AE" w:rsidRDefault="000567AE" w:rsidP="005F4E35">
      <w:pPr>
        <w:spacing w:before="60" w:after="60" w:line="240" w:lineRule="auto"/>
        <w:ind w:right="-2" w:firstLine="709"/>
        <w:jc w:val="both"/>
        <w:rPr>
          <w:rFonts w:ascii="Verdana" w:eastAsia="Times New Roman" w:hAnsi="Verdana" w:cs="Times New Roman"/>
          <w:sz w:val="20"/>
          <w:szCs w:val="20"/>
          <w:lang w:val="bg-BG"/>
        </w:rPr>
      </w:pPr>
    </w:p>
    <w:p w14:paraId="68F8E4CD"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2. ФИНАНСОВА ОЦЕНКА НА ПРЕДЛОЖЕНИЕТО (П2)</w:t>
      </w:r>
    </w:p>
    <w:p w14:paraId="2F6E8183"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Финансовото предложение на всеки отделен участник в процедурата се оценява съгласно следната формула:</w:t>
      </w:r>
    </w:p>
    <w:p w14:paraId="3D6B4DCA"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ab/>
      </w:r>
      <w:r w:rsidRPr="005F4E35">
        <w:rPr>
          <w:rFonts w:ascii="Verdana" w:eastAsia="Times New Roman" w:hAnsi="Verdana" w:cs="Times New Roman"/>
          <w:sz w:val="20"/>
          <w:szCs w:val="20"/>
          <w:lang w:val="bg-BG"/>
        </w:rPr>
        <w:tab/>
      </w:r>
      <w:proofErr w:type="spellStart"/>
      <w:r w:rsidRPr="005F4E35">
        <w:rPr>
          <w:rFonts w:ascii="Verdana" w:eastAsia="Times New Roman" w:hAnsi="Verdana" w:cs="Times New Roman"/>
          <w:sz w:val="20"/>
          <w:szCs w:val="20"/>
          <w:lang w:val="bg-BG"/>
        </w:rPr>
        <w:t>ЦО</w:t>
      </w:r>
      <w:r w:rsidRPr="005F4E35">
        <w:rPr>
          <w:rFonts w:ascii="Verdana" w:eastAsia="Times New Roman" w:hAnsi="Verdana" w:cs="Times New Roman"/>
          <w:sz w:val="20"/>
          <w:szCs w:val="20"/>
          <w:vertAlign w:val="subscript"/>
          <w:lang w:val="bg-BG"/>
        </w:rPr>
        <w:t>min</w:t>
      </w:r>
      <w:proofErr w:type="spellEnd"/>
    </w:p>
    <w:p w14:paraId="589417FF"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 xml:space="preserve">П2 </w:t>
      </w:r>
      <w:r w:rsidRPr="005F4E35">
        <w:rPr>
          <w:rFonts w:ascii="Verdana" w:eastAsia="Times New Roman" w:hAnsi="Verdana" w:cs="Times New Roman"/>
          <w:sz w:val="20"/>
          <w:szCs w:val="20"/>
          <w:vertAlign w:val="subscript"/>
          <w:lang w:val="bg-BG"/>
        </w:rPr>
        <w:t>N</w:t>
      </w:r>
      <w:r w:rsidRPr="005F4E35">
        <w:rPr>
          <w:rFonts w:ascii="Verdana" w:eastAsia="Times New Roman" w:hAnsi="Verdana" w:cs="Times New Roman"/>
          <w:sz w:val="20"/>
          <w:szCs w:val="20"/>
          <w:lang w:val="bg-BG"/>
        </w:rPr>
        <w:t xml:space="preserve"> = –––––––––––––– х 100,</w:t>
      </w:r>
    </w:p>
    <w:p w14:paraId="446974C4"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ab/>
      </w:r>
      <w:r w:rsidRPr="005F4E35">
        <w:rPr>
          <w:rFonts w:ascii="Verdana" w:eastAsia="Times New Roman" w:hAnsi="Verdana" w:cs="Times New Roman"/>
          <w:sz w:val="20"/>
          <w:szCs w:val="20"/>
          <w:lang w:val="bg-BG"/>
        </w:rPr>
        <w:tab/>
        <w:t>ЦО</w:t>
      </w:r>
      <w:r w:rsidRPr="005F4E35">
        <w:rPr>
          <w:rFonts w:ascii="Verdana" w:eastAsia="Times New Roman" w:hAnsi="Verdana" w:cs="Times New Roman"/>
          <w:sz w:val="20"/>
          <w:szCs w:val="20"/>
          <w:vertAlign w:val="subscript"/>
          <w:lang w:val="bg-BG"/>
        </w:rPr>
        <w:t>N</w:t>
      </w:r>
    </w:p>
    <w:p w14:paraId="1CB168F5" w14:textId="77777777" w:rsidR="005F4E35" w:rsidRPr="005F4E35" w:rsidRDefault="005F4E35" w:rsidP="005F4E35">
      <w:pPr>
        <w:spacing w:before="60" w:after="60" w:line="240" w:lineRule="auto"/>
        <w:jc w:val="both"/>
        <w:rPr>
          <w:rFonts w:ascii="Verdana" w:eastAsia="Times New Roman" w:hAnsi="Verdana" w:cs="Times New Roman"/>
          <w:sz w:val="20"/>
          <w:szCs w:val="20"/>
          <w:lang w:val="bg-BG"/>
        </w:rPr>
      </w:pPr>
    </w:p>
    <w:p w14:paraId="5D144C1B"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където:</w:t>
      </w:r>
    </w:p>
    <w:p w14:paraId="6EB87E20"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proofErr w:type="spellStart"/>
      <w:r w:rsidRPr="005F4E35">
        <w:rPr>
          <w:rFonts w:ascii="Verdana" w:eastAsia="Times New Roman" w:hAnsi="Verdana" w:cs="Times New Roman"/>
          <w:sz w:val="20"/>
          <w:szCs w:val="20"/>
          <w:lang w:val="bg-BG"/>
        </w:rPr>
        <w:t>ЦО</w:t>
      </w:r>
      <w:r w:rsidRPr="005F4E35">
        <w:rPr>
          <w:rFonts w:ascii="Verdana" w:eastAsia="Times New Roman" w:hAnsi="Verdana" w:cs="Times New Roman"/>
          <w:sz w:val="20"/>
          <w:szCs w:val="20"/>
          <w:vertAlign w:val="subscript"/>
          <w:lang w:val="bg-BG"/>
        </w:rPr>
        <w:t>min</w:t>
      </w:r>
      <w:proofErr w:type="spellEnd"/>
      <w:r w:rsidRPr="005F4E35">
        <w:rPr>
          <w:rFonts w:ascii="Verdana" w:eastAsia="Times New Roman" w:hAnsi="Verdana" w:cs="Times New Roman"/>
          <w:sz w:val="20"/>
          <w:szCs w:val="20"/>
          <w:lang w:val="bg-BG"/>
        </w:rPr>
        <w:t xml:space="preserve"> е най-ниската предложена от участник в процедурата цена (в лева, без ДДС);</w:t>
      </w:r>
    </w:p>
    <w:p w14:paraId="36CB750E"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ЦО</w:t>
      </w:r>
      <w:r w:rsidRPr="005F4E35">
        <w:rPr>
          <w:rFonts w:ascii="Verdana" w:eastAsia="Times New Roman" w:hAnsi="Verdana" w:cs="Times New Roman"/>
          <w:sz w:val="20"/>
          <w:szCs w:val="20"/>
          <w:vertAlign w:val="subscript"/>
          <w:lang w:val="bg-BG"/>
        </w:rPr>
        <w:t>N</w:t>
      </w:r>
      <w:r w:rsidRPr="005F4E35">
        <w:rPr>
          <w:rFonts w:ascii="Verdana" w:eastAsia="Times New Roman" w:hAnsi="Verdana" w:cs="Times New Roman"/>
          <w:sz w:val="20"/>
          <w:szCs w:val="20"/>
          <w:lang w:val="bg-BG"/>
        </w:rPr>
        <w:t xml:space="preserve"> е предложената от участника N цена (в лева, без ДДС).</w:t>
      </w:r>
    </w:p>
    <w:p w14:paraId="3656756D"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Максималната стойност на П2 е 100 точки.</w:t>
      </w:r>
    </w:p>
    <w:p w14:paraId="2DE39A2F"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3. КОМПЛЕКСНА ОЦЕНКА (КО)</w:t>
      </w:r>
    </w:p>
    <w:p w14:paraId="0F9ED0C6"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Комплексната оценка се изчислява за всеки отделен участник по следния начин:</w:t>
      </w:r>
    </w:p>
    <w:p w14:paraId="5ABBEB48"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КО = П1 х 0.5 + П2 х 0.5</w:t>
      </w:r>
    </w:p>
    <w:p w14:paraId="763E2190" w14:textId="77777777" w:rsidR="005F4E35" w:rsidRPr="005F4E35" w:rsidRDefault="005F4E35" w:rsidP="005F4E35">
      <w:pPr>
        <w:spacing w:before="60" w:after="60" w:line="240" w:lineRule="auto"/>
        <w:ind w:right="-2" w:firstLine="709"/>
        <w:jc w:val="both"/>
        <w:rPr>
          <w:rFonts w:ascii="Verdana" w:eastAsia="Times New Roman" w:hAnsi="Verdana" w:cs="Times New Roman"/>
          <w:sz w:val="20"/>
          <w:szCs w:val="20"/>
          <w:lang w:val="bg-BG"/>
        </w:rPr>
      </w:pPr>
      <w:r w:rsidRPr="005F4E35">
        <w:rPr>
          <w:rFonts w:ascii="Verdana" w:eastAsia="Times New Roman" w:hAnsi="Verdana" w:cs="Times New Roman"/>
          <w:sz w:val="20"/>
          <w:szCs w:val="20"/>
          <w:lang w:val="bg-BG"/>
        </w:rPr>
        <w:t>Максималната стойност на КО е 100 точки.</w:t>
      </w:r>
    </w:p>
    <w:p w14:paraId="506D6C5D" w14:textId="77777777" w:rsidR="005F4E35" w:rsidRDefault="005F4E35" w:rsidP="002E5DE8">
      <w:pPr>
        <w:spacing w:before="60" w:after="60" w:line="240" w:lineRule="auto"/>
        <w:ind w:right="-2"/>
        <w:jc w:val="both"/>
        <w:rPr>
          <w:rFonts w:ascii="Verdana" w:eastAsia="Times New Roman" w:hAnsi="Verdana" w:cs="Times New Roman"/>
          <w:i/>
          <w:sz w:val="20"/>
          <w:szCs w:val="20"/>
          <w:lang w:val="bg-BG"/>
        </w:rPr>
      </w:pPr>
    </w:p>
    <w:p w14:paraId="02F8C2BF" w14:textId="0D72A794" w:rsidR="005F4E35" w:rsidRPr="0039470E" w:rsidRDefault="005F4E35" w:rsidP="000340DA">
      <w:pPr>
        <w:spacing w:before="60" w:after="60" w:line="240" w:lineRule="auto"/>
        <w:ind w:right="-2" w:firstLine="709"/>
        <w:jc w:val="both"/>
        <w:rPr>
          <w:rFonts w:ascii="Verdana" w:eastAsia="Times New Roman" w:hAnsi="Verdana" w:cs="Arial"/>
          <w:sz w:val="20"/>
          <w:szCs w:val="20"/>
          <w:lang w:val="bg-BG" w:eastAsia="bg-BG"/>
        </w:rPr>
      </w:pPr>
      <w:r w:rsidRPr="005F4E35">
        <w:rPr>
          <w:rFonts w:ascii="Verdana" w:eastAsia="Times New Roman" w:hAnsi="Verdana" w:cs="Times New Roman"/>
          <w:i/>
          <w:sz w:val="20"/>
          <w:szCs w:val="20"/>
          <w:lang w:val="bg-BG"/>
        </w:rPr>
        <w:t xml:space="preserve">Забележка: </w:t>
      </w:r>
      <w:r w:rsidRPr="002B1CB7">
        <w:rPr>
          <w:rFonts w:ascii="Verdana" w:eastAsia="Times New Roman" w:hAnsi="Verdana" w:cs="Times New Roman"/>
          <w:sz w:val="20"/>
          <w:szCs w:val="20"/>
          <w:lang w:val="bg-BG"/>
        </w:rPr>
        <w:t>Ако получените оценки (комплексна, техническа, финансова или точкова оценка) не са цели числа, а десетични дроби, те следва да се закръглят до втория знак след десетичната запетая.</w:t>
      </w:r>
    </w:p>
    <w:sectPr w:rsidR="005F4E35" w:rsidRPr="0039470E"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0F88" w14:textId="77777777" w:rsidR="00AD0165" w:rsidRDefault="00AD0165" w:rsidP="00B15A1F">
      <w:pPr>
        <w:spacing w:after="0" w:line="240" w:lineRule="auto"/>
      </w:pPr>
      <w:r>
        <w:separator/>
      </w:r>
    </w:p>
  </w:endnote>
  <w:endnote w:type="continuationSeparator" w:id="0">
    <w:p w14:paraId="6A24383E" w14:textId="77777777" w:rsidR="00AD0165" w:rsidRDefault="00AD0165"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1A7EA7">
              <w:rPr>
                <w:b/>
                <w:bCs/>
                <w:noProof/>
                <w:sz w:val="16"/>
                <w:szCs w:val="16"/>
              </w:rPr>
              <w:t>6</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1A7EA7">
              <w:rPr>
                <w:b/>
                <w:bCs/>
                <w:noProof/>
                <w:sz w:val="16"/>
                <w:szCs w:val="16"/>
              </w:rPr>
              <w:t>6</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C1A3" w14:textId="77777777" w:rsidR="00AD0165" w:rsidRDefault="00AD0165" w:rsidP="00B15A1F">
      <w:pPr>
        <w:spacing w:after="0" w:line="240" w:lineRule="auto"/>
      </w:pPr>
      <w:r>
        <w:separator/>
      </w:r>
    </w:p>
  </w:footnote>
  <w:footnote w:type="continuationSeparator" w:id="0">
    <w:p w14:paraId="703FFC6F" w14:textId="77777777" w:rsidR="00AD0165" w:rsidRDefault="00AD0165"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636CFA" w:rsidRDefault="00636CFA" w:rsidP="0097516C">
    <w:pPr>
      <w:pStyle w:val="a6"/>
      <w:pBdr>
        <w:bottom w:val="double" w:sz="4" w:space="1" w:color="auto"/>
      </w:pBdr>
      <w:jc w:val="center"/>
      <w:rPr>
        <w:b/>
        <w:sz w:val="18"/>
        <w:szCs w:val="18"/>
        <w:lang w:val="ru-RU"/>
      </w:rPr>
    </w:pPr>
  </w:p>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636CFA" w:rsidRPr="0097516C" w:rsidRDefault="00636CFA" w:rsidP="0097516C">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p w14:paraId="7B57A2A5" w14:textId="77777777" w:rsidR="00636CFA" w:rsidRDefault="00636C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numFmt w:val="bullet"/>
      <w:lvlText w:val="-"/>
      <w:lvlJc w:val="left"/>
      <w:pPr>
        <w:tabs>
          <w:tab w:val="num" w:pos="0"/>
        </w:tabs>
        <w:ind w:left="1044" w:hanging="360"/>
      </w:pPr>
      <w:rPr>
        <w:rFonts w:ascii="Verdana" w:hAnsi="Verdana" w:cs="Tahoma"/>
        <w:sz w:val="22"/>
      </w:rPr>
    </w:lvl>
    <w:lvl w:ilvl="1">
      <w:start w:val="1"/>
      <w:numFmt w:val="bullet"/>
      <w:lvlText w:val="o"/>
      <w:lvlJc w:val="left"/>
      <w:pPr>
        <w:tabs>
          <w:tab w:val="num" w:pos="0"/>
        </w:tabs>
        <w:ind w:left="1764" w:hanging="360"/>
      </w:pPr>
      <w:rPr>
        <w:rFonts w:ascii="Courier New" w:hAnsi="Courier New" w:cs="Courier New"/>
      </w:rPr>
    </w:lvl>
    <w:lvl w:ilvl="2">
      <w:start w:val="1"/>
      <w:numFmt w:val="bullet"/>
      <w:lvlText w:val=""/>
      <w:lvlJc w:val="left"/>
      <w:pPr>
        <w:tabs>
          <w:tab w:val="num" w:pos="0"/>
        </w:tabs>
        <w:ind w:left="2484" w:hanging="360"/>
      </w:pPr>
      <w:rPr>
        <w:rFonts w:ascii="Wingdings" w:hAnsi="Wingdings"/>
      </w:rPr>
    </w:lvl>
    <w:lvl w:ilvl="3">
      <w:start w:val="1"/>
      <w:numFmt w:val="bullet"/>
      <w:lvlText w:val=""/>
      <w:lvlJc w:val="left"/>
      <w:pPr>
        <w:tabs>
          <w:tab w:val="num" w:pos="0"/>
        </w:tabs>
        <w:ind w:left="3204" w:hanging="360"/>
      </w:pPr>
      <w:rPr>
        <w:rFonts w:ascii="Symbol" w:hAnsi="Symbol"/>
      </w:rPr>
    </w:lvl>
    <w:lvl w:ilvl="4">
      <w:start w:val="1"/>
      <w:numFmt w:val="bullet"/>
      <w:lvlText w:val="o"/>
      <w:lvlJc w:val="left"/>
      <w:pPr>
        <w:tabs>
          <w:tab w:val="num" w:pos="0"/>
        </w:tabs>
        <w:ind w:left="3924" w:hanging="360"/>
      </w:pPr>
      <w:rPr>
        <w:rFonts w:ascii="Courier New" w:hAnsi="Courier New" w:cs="Courier New"/>
      </w:rPr>
    </w:lvl>
    <w:lvl w:ilvl="5">
      <w:start w:val="1"/>
      <w:numFmt w:val="bullet"/>
      <w:lvlText w:val=""/>
      <w:lvlJc w:val="left"/>
      <w:pPr>
        <w:tabs>
          <w:tab w:val="num" w:pos="0"/>
        </w:tabs>
        <w:ind w:left="4644" w:hanging="360"/>
      </w:pPr>
      <w:rPr>
        <w:rFonts w:ascii="Wingdings" w:hAnsi="Wingdings"/>
      </w:rPr>
    </w:lvl>
    <w:lvl w:ilvl="6">
      <w:start w:val="1"/>
      <w:numFmt w:val="bullet"/>
      <w:lvlText w:val=""/>
      <w:lvlJc w:val="left"/>
      <w:pPr>
        <w:tabs>
          <w:tab w:val="num" w:pos="0"/>
        </w:tabs>
        <w:ind w:left="5364" w:hanging="360"/>
      </w:pPr>
      <w:rPr>
        <w:rFonts w:ascii="Symbol" w:hAnsi="Symbol"/>
      </w:rPr>
    </w:lvl>
    <w:lvl w:ilvl="7">
      <w:start w:val="1"/>
      <w:numFmt w:val="bullet"/>
      <w:lvlText w:val="o"/>
      <w:lvlJc w:val="left"/>
      <w:pPr>
        <w:tabs>
          <w:tab w:val="num" w:pos="0"/>
        </w:tabs>
        <w:ind w:left="6084" w:hanging="360"/>
      </w:pPr>
      <w:rPr>
        <w:rFonts w:ascii="Courier New" w:hAnsi="Courier New" w:cs="Courier New"/>
      </w:rPr>
    </w:lvl>
    <w:lvl w:ilvl="8">
      <w:start w:val="1"/>
      <w:numFmt w:val="bullet"/>
      <w:lvlText w:val=""/>
      <w:lvlJc w:val="left"/>
      <w:pPr>
        <w:tabs>
          <w:tab w:val="num" w:pos="0"/>
        </w:tabs>
        <w:ind w:left="6804" w:hanging="360"/>
      </w:pPr>
      <w:rPr>
        <w:rFonts w:ascii="Wingdings" w:hAnsi="Wingdings"/>
      </w:rPr>
    </w:lvl>
  </w:abstractNum>
  <w:abstractNum w:abstractNumId="1"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39700B"/>
    <w:multiLevelType w:val="hybridMultilevel"/>
    <w:tmpl w:val="DDEC511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620"/>
        </w:tabs>
        <w:ind w:left="1620" w:hanging="180"/>
      </w:pPr>
      <w:rPr>
        <w:rFonts w:cs="Times New Roman"/>
      </w:rPr>
    </w:lvl>
    <w:lvl w:ilvl="3" w:tplc="FFFFFFFF">
      <w:start w:val="1"/>
      <w:numFmt w:val="decimal"/>
      <w:lvlText w:val="%4."/>
      <w:lvlJc w:val="left"/>
      <w:pPr>
        <w:tabs>
          <w:tab w:val="num" w:pos="2340"/>
        </w:tabs>
        <w:ind w:left="2340" w:hanging="360"/>
      </w:pPr>
      <w:rPr>
        <w:rFonts w:cs="Times New Roman"/>
      </w:rPr>
    </w:lvl>
    <w:lvl w:ilvl="4" w:tplc="FFFFFFFF">
      <w:start w:val="1"/>
      <w:numFmt w:val="lowerLetter"/>
      <w:lvlText w:val="%5."/>
      <w:lvlJc w:val="left"/>
      <w:pPr>
        <w:tabs>
          <w:tab w:val="num" w:pos="3060"/>
        </w:tabs>
        <w:ind w:left="3060" w:hanging="360"/>
      </w:pPr>
      <w:rPr>
        <w:rFonts w:cs="Times New Roman"/>
      </w:rPr>
    </w:lvl>
    <w:lvl w:ilvl="5" w:tplc="FFFFFFFF">
      <w:start w:val="1"/>
      <w:numFmt w:val="lowerRoman"/>
      <w:lvlText w:val="%6."/>
      <w:lvlJc w:val="right"/>
      <w:pPr>
        <w:tabs>
          <w:tab w:val="num" w:pos="3780"/>
        </w:tabs>
        <w:ind w:left="3780" w:hanging="180"/>
      </w:pPr>
      <w:rPr>
        <w:rFonts w:cs="Times New Roman"/>
      </w:rPr>
    </w:lvl>
    <w:lvl w:ilvl="6" w:tplc="FFFFFFFF">
      <w:start w:val="1"/>
      <w:numFmt w:val="decimal"/>
      <w:lvlText w:val="%7."/>
      <w:lvlJc w:val="left"/>
      <w:pPr>
        <w:tabs>
          <w:tab w:val="num" w:pos="4500"/>
        </w:tabs>
        <w:ind w:left="4500" w:hanging="360"/>
      </w:pPr>
      <w:rPr>
        <w:rFonts w:cs="Times New Roman"/>
      </w:rPr>
    </w:lvl>
    <w:lvl w:ilvl="7" w:tplc="FFFFFFFF">
      <w:start w:val="1"/>
      <w:numFmt w:val="lowerLetter"/>
      <w:lvlText w:val="%8."/>
      <w:lvlJc w:val="left"/>
      <w:pPr>
        <w:tabs>
          <w:tab w:val="num" w:pos="5220"/>
        </w:tabs>
        <w:ind w:left="5220" w:hanging="360"/>
      </w:pPr>
      <w:rPr>
        <w:rFonts w:cs="Times New Roman"/>
      </w:rPr>
    </w:lvl>
    <w:lvl w:ilvl="8" w:tplc="FFFFFFFF">
      <w:start w:val="1"/>
      <w:numFmt w:val="lowerRoman"/>
      <w:lvlText w:val="%9."/>
      <w:lvlJc w:val="right"/>
      <w:pPr>
        <w:tabs>
          <w:tab w:val="num" w:pos="5940"/>
        </w:tabs>
        <w:ind w:left="5940" w:hanging="180"/>
      </w:pPr>
      <w:rPr>
        <w:rFonts w:cs="Times New Roman"/>
      </w:rPr>
    </w:lvl>
  </w:abstractNum>
  <w:abstractNum w:abstractNumId="4"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236958"/>
    <w:multiLevelType w:val="multilevel"/>
    <w:tmpl w:val="E4EAA002"/>
    <w:lvl w:ilvl="0">
      <w:start w:val="1"/>
      <w:numFmt w:val="decimal"/>
      <w:pStyle w:val="1"/>
      <w:lvlText w:val="%1"/>
      <w:lvlJc w:val="left"/>
      <w:pPr>
        <w:ind w:left="2700" w:hanging="432"/>
      </w:pPr>
    </w:lvl>
    <w:lvl w:ilvl="1">
      <w:start w:val="1"/>
      <w:numFmt w:val="decimal"/>
      <w:pStyle w:val="2"/>
      <w:lvlText w:val="%1.%2"/>
      <w:lvlJc w:val="left"/>
      <w:pPr>
        <w:ind w:left="2844" w:hanging="576"/>
      </w:pPr>
    </w:lvl>
    <w:lvl w:ilvl="2">
      <w:start w:val="1"/>
      <w:numFmt w:val="decimal"/>
      <w:pStyle w:val="3"/>
      <w:lvlText w:val="%1.%2.%3"/>
      <w:lvlJc w:val="left"/>
      <w:pPr>
        <w:ind w:left="4068" w:hanging="720"/>
      </w:pPr>
    </w:lvl>
    <w:lvl w:ilvl="3">
      <w:start w:val="1"/>
      <w:numFmt w:val="decimal"/>
      <w:pStyle w:val="4"/>
      <w:lvlText w:val="%1.%2.%3.%4"/>
      <w:lvlJc w:val="left"/>
      <w:pPr>
        <w:ind w:left="3132" w:hanging="864"/>
      </w:pPr>
    </w:lvl>
    <w:lvl w:ilvl="4">
      <w:start w:val="1"/>
      <w:numFmt w:val="decimal"/>
      <w:pStyle w:val="5"/>
      <w:lvlText w:val="%1.%2.%3.%4.%5"/>
      <w:lvlJc w:val="left"/>
      <w:pPr>
        <w:ind w:left="3276" w:hanging="1008"/>
      </w:pPr>
    </w:lvl>
    <w:lvl w:ilvl="5">
      <w:start w:val="1"/>
      <w:numFmt w:val="decimal"/>
      <w:pStyle w:val="6"/>
      <w:lvlText w:val="%1.%2.%3.%4.%5.%6"/>
      <w:lvlJc w:val="left"/>
      <w:pPr>
        <w:ind w:left="3420" w:hanging="1152"/>
      </w:pPr>
    </w:lvl>
    <w:lvl w:ilvl="6">
      <w:start w:val="1"/>
      <w:numFmt w:val="decimal"/>
      <w:pStyle w:val="7"/>
      <w:lvlText w:val="%1.%2.%3.%4.%5.%6.%7"/>
      <w:lvlJc w:val="left"/>
      <w:pPr>
        <w:ind w:left="3564" w:hanging="1296"/>
      </w:pPr>
    </w:lvl>
    <w:lvl w:ilvl="7">
      <w:start w:val="1"/>
      <w:numFmt w:val="decimal"/>
      <w:pStyle w:val="8"/>
      <w:lvlText w:val="%1.%2.%3.%4.%5.%6.%7.%8"/>
      <w:lvlJc w:val="left"/>
      <w:pPr>
        <w:ind w:left="3708" w:hanging="1440"/>
      </w:pPr>
    </w:lvl>
    <w:lvl w:ilvl="8">
      <w:start w:val="1"/>
      <w:numFmt w:val="decimal"/>
      <w:pStyle w:val="9"/>
      <w:lvlText w:val="%1.%2.%3.%4.%5.%6.%7.%8.%9"/>
      <w:lvlJc w:val="left"/>
      <w:pPr>
        <w:ind w:left="3852" w:hanging="1584"/>
      </w:pPr>
    </w:lvl>
  </w:abstractNum>
  <w:abstractNum w:abstractNumId="7"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73BEE"/>
    <w:multiLevelType w:val="singleLevel"/>
    <w:tmpl w:val="726AE7BE"/>
    <w:lvl w:ilvl="0">
      <w:start w:val="2"/>
      <w:numFmt w:val="decimal"/>
      <w:lvlText w:val="(%1)"/>
      <w:legacy w:legacy="1" w:legacySpace="0" w:legacyIndent="360"/>
      <w:lvlJc w:val="left"/>
      <w:rPr>
        <w:rFonts w:ascii="Times New Roman" w:hAnsi="Times New Roman" w:cs="Times New Roman" w:hint="default"/>
        <w:b/>
      </w:rPr>
    </w:lvl>
  </w:abstractNum>
  <w:abstractNum w:abstractNumId="10" w15:restartNumberingAfterBreak="0">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36A87"/>
    <w:multiLevelType w:val="hybridMultilevel"/>
    <w:tmpl w:val="351E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15:restartNumberingAfterBreak="0">
    <w:nsid w:val="37777F93"/>
    <w:multiLevelType w:val="hybridMultilevel"/>
    <w:tmpl w:val="B2BC59D8"/>
    <w:lvl w:ilvl="0" w:tplc="365CE8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3DFC2702"/>
    <w:multiLevelType w:val="hybridMultilevel"/>
    <w:tmpl w:val="252096BA"/>
    <w:lvl w:ilvl="0" w:tplc="3AC4E5E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1285AEA"/>
    <w:multiLevelType w:val="hybridMultilevel"/>
    <w:tmpl w:val="13BC8592"/>
    <w:lvl w:ilvl="0" w:tplc="300E19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624C6"/>
    <w:multiLevelType w:val="hybridMultilevel"/>
    <w:tmpl w:val="3AF4F9EC"/>
    <w:lvl w:ilvl="0" w:tplc="684C816A">
      <w:start w:val="1"/>
      <w:numFmt w:val="upperRoman"/>
      <w:lvlText w:val="%1."/>
      <w:lvlJc w:val="righ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15:restartNumberingAfterBreak="0">
    <w:nsid w:val="48AA633C"/>
    <w:multiLevelType w:val="hybridMultilevel"/>
    <w:tmpl w:val="A6C6A600"/>
    <w:lvl w:ilvl="0" w:tplc="300E19A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6DB"/>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4E746EA1"/>
    <w:multiLevelType w:val="hybridMultilevel"/>
    <w:tmpl w:val="B3D20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41F47"/>
    <w:multiLevelType w:val="singleLevel"/>
    <w:tmpl w:val="4EA2045A"/>
    <w:lvl w:ilvl="0">
      <w:start w:val="2"/>
      <w:numFmt w:val="decimal"/>
      <w:lvlText w:val="(%1)"/>
      <w:legacy w:legacy="1" w:legacySpace="0" w:legacyIndent="355"/>
      <w:lvlJc w:val="left"/>
      <w:rPr>
        <w:rFonts w:ascii="Times New Roman" w:hAnsi="Times New Roman" w:cs="Times New Roman" w:hint="default"/>
        <w:b/>
      </w:rPr>
    </w:lvl>
  </w:abstractNum>
  <w:abstractNum w:abstractNumId="32" w15:restartNumberingAfterBreak="0">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F13E32"/>
    <w:multiLevelType w:val="hybridMultilevel"/>
    <w:tmpl w:val="09D241FE"/>
    <w:lvl w:ilvl="0" w:tplc="8F38E68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606771"/>
    <w:multiLevelType w:val="hybridMultilevel"/>
    <w:tmpl w:val="0B8A27D2"/>
    <w:lvl w:ilvl="0" w:tplc="D6565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B5566"/>
    <w:multiLevelType w:val="hybridMultilevel"/>
    <w:tmpl w:val="66EAB8B6"/>
    <w:lvl w:ilvl="0" w:tplc="16180BB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40D28"/>
    <w:multiLevelType w:val="hybridMultilevel"/>
    <w:tmpl w:val="C49E597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8"/>
  </w:num>
  <w:num w:numId="2">
    <w:abstractNumId w:val="6"/>
  </w:num>
  <w:num w:numId="3">
    <w:abstractNumId w:val="40"/>
  </w:num>
  <w:num w:numId="4">
    <w:abstractNumId w:val="8"/>
  </w:num>
  <w:num w:numId="5">
    <w:abstractNumId w:val="12"/>
  </w:num>
  <w:num w:numId="6">
    <w:abstractNumId w:val="27"/>
  </w:num>
  <w:num w:numId="7">
    <w:abstractNumId w:val="41"/>
  </w:num>
  <w:num w:numId="8">
    <w:abstractNumId w:val="19"/>
  </w:num>
  <w:num w:numId="9">
    <w:abstractNumId w:val="43"/>
  </w:num>
  <w:num w:numId="10">
    <w:abstractNumId w:val="30"/>
  </w:num>
  <w:num w:numId="11">
    <w:abstractNumId w:val="36"/>
  </w:num>
  <w:num w:numId="12">
    <w:abstractNumId w:val="15"/>
  </w:num>
  <w:num w:numId="13">
    <w:abstractNumId w:val="5"/>
  </w:num>
  <w:num w:numId="14">
    <w:abstractNumId w:val="20"/>
  </w:num>
  <w:num w:numId="15">
    <w:abstractNumId w:val="42"/>
  </w:num>
  <w:num w:numId="16">
    <w:abstractNumId w:val="13"/>
  </w:num>
  <w:num w:numId="17">
    <w:abstractNumId w:val="2"/>
  </w:num>
  <w:num w:numId="18">
    <w:abstractNumId w:val="1"/>
  </w:num>
  <w:num w:numId="19">
    <w:abstractNumId w:val="35"/>
  </w:num>
  <w:num w:numId="20">
    <w:abstractNumId w:val="7"/>
  </w:num>
  <w:num w:numId="21">
    <w:abstractNumId w:val="26"/>
  </w:num>
  <w:num w:numId="22">
    <w:abstractNumId w:val="14"/>
  </w:num>
  <w:num w:numId="23">
    <w:abstractNumId w:val="11"/>
  </w:num>
  <w:num w:numId="24">
    <w:abstractNumId w:val="4"/>
  </w:num>
  <w:num w:numId="25">
    <w:abstractNumId w:val="6"/>
  </w:num>
  <w:num w:numId="26">
    <w:abstractNumId w:val="32"/>
  </w:num>
  <w:num w:numId="27">
    <w:abstractNumId w:val="37"/>
  </w:num>
  <w:num w:numId="28">
    <w:abstractNumId w:val="33"/>
  </w:num>
  <w:num w:numId="29">
    <w:abstractNumId w:val="16"/>
  </w:num>
  <w:num w:numId="30">
    <w:abstractNumId w:val="10"/>
  </w:num>
  <w:num w:numId="31">
    <w:abstractNumId w:val="38"/>
  </w:num>
  <w:num w:numId="32">
    <w:abstractNumId w:val="23"/>
  </w:num>
  <w:num w:numId="33">
    <w:abstractNumId w:val="31"/>
    <w:lvlOverride w:ilvl="0">
      <w:startOverride w:val="2"/>
    </w:lvlOverride>
  </w:num>
  <w:num w:numId="34">
    <w:abstractNumId w:val="9"/>
    <w:lvlOverride w:ilvl="0">
      <w:startOverride w:val="2"/>
    </w:lvlOverride>
  </w:num>
  <w:num w:numId="35">
    <w:abstractNumId w:val="17"/>
  </w:num>
  <w:num w:numId="36">
    <w:abstractNumId w:val="28"/>
  </w:num>
  <w:num w:numId="37">
    <w:abstractNumId w:val="29"/>
  </w:num>
  <w:num w:numId="38">
    <w:abstractNumId w:val="3"/>
  </w:num>
  <w:num w:numId="39">
    <w:abstractNumId w:val="22"/>
  </w:num>
  <w:num w:numId="40">
    <w:abstractNumId w:val="25"/>
  </w:num>
  <w:num w:numId="41">
    <w:abstractNumId w:val="34"/>
  </w:num>
  <w:num w:numId="42">
    <w:abstractNumId w:val="24"/>
  </w:num>
  <w:num w:numId="43">
    <w:abstractNumId w:val="39"/>
  </w:num>
  <w:num w:numId="44">
    <w:abstractNumId w:val="21"/>
  </w:num>
  <w:num w:numId="45">
    <w:abstractNumId w:val="0"/>
  </w:num>
  <w:num w:numId="46">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26E54"/>
    <w:rsid w:val="00031C8E"/>
    <w:rsid w:val="00033A90"/>
    <w:rsid w:val="000340DA"/>
    <w:rsid w:val="00034C91"/>
    <w:rsid w:val="00036E6D"/>
    <w:rsid w:val="000503A7"/>
    <w:rsid w:val="000567AE"/>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9336F"/>
    <w:rsid w:val="000A21FF"/>
    <w:rsid w:val="000A2A01"/>
    <w:rsid w:val="000A3D1A"/>
    <w:rsid w:val="000A3D6A"/>
    <w:rsid w:val="000B193F"/>
    <w:rsid w:val="000B1E21"/>
    <w:rsid w:val="000B202B"/>
    <w:rsid w:val="000B3B6D"/>
    <w:rsid w:val="000B6C8F"/>
    <w:rsid w:val="000C02AA"/>
    <w:rsid w:val="000C09CB"/>
    <w:rsid w:val="000C0C57"/>
    <w:rsid w:val="000C7914"/>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1EF"/>
    <w:rsid w:val="00113A89"/>
    <w:rsid w:val="00116205"/>
    <w:rsid w:val="00116767"/>
    <w:rsid w:val="00127BEA"/>
    <w:rsid w:val="00134EFF"/>
    <w:rsid w:val="001442AB"/>
    <w:rsid w:val="00154F6E"/>
    <w:rsid w:val="00156EFE"/>
    <w:rsid w:val="001610EA"/>
    <w:rsid w:val="0016132B"/>
    <w:rsid w:val="001651E4"/>
    <w:rsid w:val="001755D7"/>
    <w:rsid w:val="00177386"/>
    <w:rsid w:val="0018240C"/>
    <w:rsid w:val="00187A7E"/>
    <w:rsid w:val="00187C79"/>
    <w:rsid w:val="00190642"/>
    <w:rsid w:val="0019302B"/>
    <w:rsid w:val="0019341B"/>
    <w:rsid w:val="001936D3"/>
    <w:rsid w:val="001940DC"/>
    <w:rsid w:val="00195BC7"/>
    <w:rsid w:val="0019640E"/>
    <w:rsid w:val="001A0E6B"/>
    <w:rsid w:val="001A2C5D"/>
    <w:rsid w:val="001A3642"/>
    <w:rsid w:val="001A5E43"/>
    <w:rsid w:val="001A7EA7"/>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0DB3"/>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52761"/>
    <w:rsid w:val="002600F0"/>
    <w:rsid w:val="00261705"/>
    <w:rsid w:val="00267FAF"/>
    <w:rsid w:val="00271152"/>
    <w:rsid w:val="0027338A"/>
    <w:rsid w:val="0027427D"/>
    <w:rsid w:val="00275A25"/>
    <w:rsid w:val="002765EA"/>
    <w:rsid w:val="00280FF8"/>
    <w:rsid w:val="002813A9"/>
    <w:rsid w:val="002826DD"/>
    <w:rsid w:val="0029692F"/>
    <w:rsid w:val="002A6EB6"/>
    <w:rsid w:val="002A754D"/>
    <w:rsid w:val="002B07FB"/>
    <w:rsid w:val="002B1CB7"/>
    <w:rsid w:val="002C466B"/>
    <w:rsid w:val="002C5129"/>
    <w:rsid w:val="002C6207"/>
    <w:rsid w:val="002D2024"/>
    <w:rsid w:val="002D2701"/>
    <w:rsid w:val="002D2A0F"/>
    <w:rsid w:val="002D4079"/>
    <w:rsid w:val="002D713F"/>
    <w:rsid w:val="002E0D0E"/>
    <w:rsid w:val="002E4EB2"/>
    <w:rsid w:val="002E5DE8"/>
    <w:rsid w:val="003004B2"/>
    <w:rsid w:val="00301235"/>
    <w:rsid w:val="0030153B"/>
    <w:rsid w:val="00305373"/>
    <w:rsid w:val="00312D66"/>
    <w:rsid w:val="0031388E"/>
    <w:rsid w:val="00316EF4"/>
    <w:rsid w:val="00320DBC"/>
    <w:rsid w:val="0032282C"/>
    <w:rsid w:val="00323A12"/>
    <w:rsid w:val="003241EF"/>
    <w:rsid w:val="00330C62"/>
    <w:rsid w:val="00331DAE"/>
    <w:rsid w:val="00342C76"/>
    <w:rsid w:val="0034479C"/>
    <w:rsid w:val="003453E9"/>
    <w:rsid w:val="00345919"/>
    <w:rsid w:val="00346930"/>
    <w:rsid w:val="00360493"/>
    <w:rsid w:val="00361C44"/>
    <w:rsid w:val="003625F2"/>
    <w:rsid w:val="00362940"/>
    <w:rsid w:val="003633BA"/>
    <w:rsid w:val="0036655C"/>
    <w:rsid w:val="00366CD7"/>
    <w:rsid w:val="00372729"/>
    <w:rsid w:val="0037700E"/>
    <w:rsid w:val="00377099"/>
    <w:rsid w:val="003860A6"/>
    <w:rsid w:val="0039193B"/>
    <w:rsid w:val="0039470E"/>
    <w:rsid w:val="003A0A02"/>
    <w:rsid w:val="003A0D2F"/>
    <w:rsid w:val="003A7CFD"/>
    <w:rsid w:val="003C6F88"/>
    <w:rsid w:val="003C7447"/>
    <w:rsid w:val="003C7F5F"/>
    <w:rsid w:val="003D0B0E"/>
    <w:rsid w:val="003D0B77"/>
    <w:rsid w:val="003E458C"/>
    <w:rsid w:val="003E6380"/>
    <w:rsid w:val="003E6414"/>
    <w:rsid w:val="003E7A16"/>
    <w:rsid w:val="003F06DD"/>
    <w:rsid w:val="003F0CBE"/>
    <w:rsid w:val="003F198E"/>
    <w:rsid w:val="003F36A4"/>
    <w:rsid w:val="003F50A6"/>
    <w:rsid w:val="003F5B95"/>
    <w:rsid w:val="003F76D9"/>
    <w:rsid w:val="00403AE9"/>
    <w:rsid w:val="0040442B"/>
    <w:rsid w:val="00406812"/>
    <w:rsid w:val="004069B0"/>
    <w:rsid w:val="004118C6"/>
    <w:rsid w:val="004132AF"/>
    <w:rsid w:val="00423DA2"/>
    <w:rsid w:val="00424A8E"/>
    <w:rsid w:val="00426FA1"/>
    <w:rsid w:val="0042725D"/>
    <w:rsid w:val="00431728"/>
    <w:rsid w:val="00432C30"/>
    <w:rsid w:val="00434853"/>
    <w:rsid w:val="004526BD"/>
    <w:rsid w:val="00454995"/>
    <w:rsid w:val="00455521"/>
    <w:rsid w:val="00456961"/>
    <w:rsid w:val="004574FC"/>
    <w:rsid w:val="00463081"/>
    <w:rsid w:val="00463D68"/>
    <w:rsid w:val="00472A14"/>
    <w:rsid w:val="00473DC1"/>
    <w:rsid w:val="0048350B"/>
    <w:rsid w:val="00490121"/>
    <w:rsid w:val="004918C1"/>
    <w:rsid w:val="00491CCC"/>
    <w:rsid w:val="0049423B"/>
    <w:rsid w:val="00496D01"/>
    <w:rsid w:val="004A1604"/>
    <w:rsid w:val="004A1CA1"/>
    <w:rsid w:val="004A2181"/>
    <w:rsid w:val="004A2309"/>
    <w:rsid w:val="004A2E30"/>
    <w:rsid w:val="004A4915"/>
    <w:rsid w:val="004B3249"/>
    <w:rsid w:val="004B4EFA"/>
    <w:rsid w:val="004C18C4"/>
    <w:rsid w:val="004C1E31"/>
    <w:rsid w:val="004D3D65"/>
    <w:rsid w:val="004D4195"/>
    <w:rsid w:val="004D4848"/>
    <w:rsid w:val="004D6222"/>
    <w:rsid w:val="004E1251"/>
    <w:rsid w:val="004E1DA8"/>
    <w:rsid w:val="004F0B1D"/>
    <w:rsid w:val="004F61E8"/>
    <w:rsid w:val="00501D29"/>
    <w:rsid w:val="005032C2"/>
    <w:rsid w:val="00503B77"/>
    <w:rsid w:val="00503FB8"/>
    <w:rsid w:val="005104F2"/>
    <w:rsid w:val="00510885"/>
    <w:rsid w:val="00510C81"/>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709FA"/>
    <w:rsid w:val="0058071A"/>
    <w:rsid w:val="00580ABB"/>
    <w:rsid w:val="005831EE"/>
    <w:rsid w:val="00584B1B"/>
    <w:rsid w:val="00590D8C"/>
    <w:rsid w:val="005931B1"/>
    <w:rsid w:val="005947B6"/>
    <w:rsid w:val="00596447"/>
    <w:rsid w:val="005A55F1"/>
    <w:rsid w:val="005A710F"/>
    <w:rsid w:val="005B6466"/>
    <w:rsid w:val="005C0870"/>
    <w:rsid w:val="005D360A"/>
    <w:rsid w:val="005D49AD"/>
    <w:rsid w:val="005E559F"/>
    <w:rsid w:val="005E6B74"/>
    <w:rsid w:val="005F2A95"/>
    <w:rsid w:val="005F4E35"/>
    <w:rsid w:val="00601323"/>
    <w:rsid w:val="00602A10"/>
    <w:rsid w:val="00612856"/>
    <w:rsid w:val="006139C5"/>
    <w:rsid w:val="0061563C"/>
    <w:rsid w:val="00621307"/>
    <w:rsid w:val="0063051F"/>
    <w:rsid w:val="00636CFA"/>
    <w:rsid w:val="00642DA7"/>
    <w:rsid w:val="00646F9B"/>
    <w:rsid w:val="006553E4"/>
    <w:rsid w:val="00662E60"/>
    <w:rsid w:val="00665491"/>
    <w:rsid w:val="00671A74"/>
    <w:rsid w:val="00683F7E"/>
    <w:rsid w:val="006846F4"/>
    <w:rsid w:val="00687ABD"/>
    <w:rsid w:val="006A0246"/>
    <w:rsid w:val="006A134A"/>
    <w:rsid w:val="006A21B3"/>
    <w:rsid w:val="006A6422"/>
    <w:rsid w:val="006B14FA"/>
    <w:rsid w:val="006B3598"/>
    <w:rsid w:val="006B5BA0"/>
    <w:rsid w:val="006C6808"/>
    <w:rsid w:val="006D2383"/>
    <w:rsid w:val="006E4C6A"/>
    <w:rsid w:val="006F1B2F"/>
    <w:rsid w:val="006F368A"/>
    <w:rsid w:val="006F7C57"/>
    <w:rsid w:val="00701D1E"/>
    <w:rsid w:val="007022E3"/>
    <w:rsid w:val="00720828"/>
    <w:rsid w:val="00724C7A"/>
    <w:rsid w:val="00726FF4"/>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91DC9"/>
    <w:rsid w:val="007A3D54"/>
    <w:rsid w:val="007B064F"/>
    <w:rsid w:val="007B6610"/>
    <w:rsid w:val="007C3EBF"/>
    <w:rsid w:val="007C6538"/>
    <w:rsid w:val="007D76EC"/>
    <w:rsid w:val="007E03E9"/>
    <w:rsid w:val="007E1849"/>
    <w:rsid w:val="007E2D27"/>
    <w:rsid w:val="007E3C3E"/>
    <w:rsid w:val="007E5CC0"/>
    <w:rsid w:val="007E7CCB"/>
    <w:rsid w:val="007F1D17"/>
    <w:rsid w:val="007F45CB"/>
    <w:rsid w:val="00800247"/>
    <w:rsid w:val="00802BA7"/>
    <w:rsid w:val="00811D3E"/>
    <w:rsid w:val="00814A25"/>
    <w:rsid w:val="00815B80"/>
    <w:rsid w:val="00826254"/>
    <w:rsid w:val="00831A04"/>
    <w:rsid w:val="00845BCC"/>
    <w:rsid w:val="00851331"/>
    <w:rsid w:val="00853AFF"/>
    <w:rsid w:val="008612A7"/>
    <w:rsid w:val="008655E2"/>
    <w:rsid w:val="008679E7"/>
    <w:rsid w:val="00867A80"/>
    <w:rsid w:val="00867EE2"/>
    <w:rsid w:val="00871CC7"/>
    <w:rsid w:val="0087523C"/>
    <w:rsid w:val="008801D2"/>
    <w:rsid w:val="00880CCD"/>
    <w:rsid w:val="00890FE7"/>
    <w:rsid w:val="00892DCA"/>
    <w:rsid w:val="00894652"/>
    <w:rsid w:val="008966F0"/>
    <w:rsid w:val="00897534"/>
    <w:rsid w:val="00897611"/>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5476"/>
    <w:rsid w:val="00916785"/>
    <w:rsid w:val="00921DED"/>
    <w:rsid w:val="00922A96"/>
    <w:rsid w:val="009253C5"/>
    <w:rsid w:val="0093337A"/>
    <w:rsid w:val="0093394C"/>
    <w:rsid w:val="00935929"/>
    <w:rsid w:val="0093666C"/>
    <w:rsid w:val="009509DF"/>
    <w:rsid w:val="009545B4"/>
    <w:rsid w:val="0095479D"/>
    <w:rsid w:val="00964E61"/>
    <w:rsid w:val="00965CFD"/>
    <w:rsid w:val="0097052F"/>
    <w:rsid w:val="00970801"/>
    <w:rsid w:val="0097163D"/>
    <w:rsid w:val="0097516C"/>
    <w:rsid w:val="00975E74"/>
    <w:rsid w:val="00976BFB"/>
    <w:rsid w:val="00982628"/>
    <w:rsid w:val="0098534B"/>
    <w:rsid w:val="0098763C"/>
    <w:rsid w:val="00990FA6"/>
    <w:rsid w:val="00993012"/>
    <w:rsid w:val="00993913"/>
    <w:rsid w:val="009941FA"/>
    <w:rsid w:val="00995F71"/>
    <w:rsid w:val="0099717E"/>
    <w:rsid w:val="009A22DF"/>
    <w:rsid w:val="009A3616"/>
    <w:rsid w:val="009B0975"/>
    <w:rsid w:val="009B0CD7"/>
    <w:rsid w:val="009B4898"/>
    <w:rsid w:val="009B4B84"/>
    <w:rsid w:val="009B5830"/>
    <w:rsid w:val="009B6A0A"/>
    <w:rsid w:val="009C20C7"/>
    <w:rsid w:val="009C2DD0"/>
    <w:rsid w:val="009C4C47"/>
    <w:rsid w:val="009D4412"/>
    <w:rsid w:val="009E0713"/>
    <w:rsid w:val="009E3531"/>
    <w:rsid w:val="009E4088"/>
    <w:rsid w:val="009F0AA4"/>
    <w:rsid w:val="009F77C9"/>
    <w:rsid w:val="009F7C66"/>
    <w:rsid w:val="009F7F2E"/>
    <w:rsid w:val="00A012C9"/>
    <w:rsid w:val="00A04983"/>
    <w:rsid w:val="00A36EF7"/>
    <w:rsid w:val="00A421EC"/>
    <w:rsid w:val="00A432E0"/>
    <w:rsid w:val="00A47010"/>
    <w:rsid w:val="00A521AC"/>
    <w:rsid w:val="00A52D71"/>
    <w:rsid w:val="00A604CD"/>
    <w:rsid w:val="00A660E1"/>
    <w:rsid w:val="00A717C8"/>
    <w:rsid w:val="00A82437"/>
    <w:rsid w:val="00A85DA9"/>
    <w:rsid w:val="00A8635C"/>
    <w:rsid w:val="00A87780"/>
    <w:rsid w:val="00A87EF2"/>
    <w:rsid w:val="00AA1630"/>
    <w:rsid w:val="00AB0065"/>
    <w:rsid w:val="00AB65B6"/>
    <w:rsid w:val="00AB66FB"/>
    <w:rsid w:val="00AB7FEE"/>
    <w:rsid w:val="00AD0165"/>
    <w:rsid w:val="00AD1964"/>
    <w:rsid w:val="00AD7762"/>
    <w:rsid w:val="00AE237C"/>
    <w:rsid w:val="00AE6B2A"/>
    <w:rsid w:val="00AF574D"/>
    <w:rsid w:val="00AF648E"/>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4BCA"/>
    <w:rsid w:val="00B65128"/>
    <w:rsid w:val="00B66B5C"/>
    <w:rsid w:val="00B7012E"/>
    <w:rsid w:val="00B71F5C"/>
    <w:rsid w:val="00B774FC"/>
    <w:rsid w:val="00B77BEE"/>
    <w:rsid w:val="00B852C1"/>
    <w:rsid w:val="00B8580C"/>
    <w:rsid w:val="00B933A4"/>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2E8"/>
    <w:rsid w:val="00C0165C"/>
    <w:rsid w:val="00C050FE"/>
    <w:rsid w:val="00C053F6"/>
    <w:rsid w:val="00C11540"/>
    <w:rsid w:val="00C13552"/>
    <w:rsid w:val="00C1777D"/>
    <w:rsid w:val="00C202EB"/>
    <w:rsid w:val="00C21D1D"/>
    <w:rsid w:val="00C23653"/>
    <w:rsid w:val="00C31E9C"/>
    <w:rsid w:val="00C34CAE"/>
    <w:rsid w:val="00C36C78"/>
    <w:rsid w:val="00C41320"/>
    <w:rsid w:val="00C42B81"/>
    <w:rsid w:val="00C45E40"/>
    <w:rsid w:val="00C46508"/>
    <w:rsid w:val="00C5761A"/>
    <w:rsid w:val="00C64234"/>
    <w:rsid w:val="00C66A6C"/>
    <w:rsid w:val="00C70CCA"/>
    <w:rsid w:val="00C70E4D"/>
    <w:rsid w:val="00C77AF7"/>
    <w:rsid w:val="00C832AC"/>
    <w:rsid w:val="00C83482"/>
    <w:rsid w:val="00C91F20"/>
    <w:rsid w:val="00C9219B"/>
    <w:rsid w:val="00C922B3"/>
    <w:rsid w:val="00C93F6B"/>
    <w:rsid w:val="00C94B41"/>
    <w:rsid w:val="00CA1D0D"/>
    <w:rsid w:val="00CA40A7"/>
    <w:rsid w:val="00CA469C"/>
    <w:rsid w:val="00CA5360"/>
    <w:rsid w:val="00CB0B83"/>
    <w:rsid w:val="00CB28E5"/>
    <w:rsid w:val="00CB2B93"/>
    <w:rsid w:val="00CB53F2"/>
    <w:rsid w:val="00CB5FFF"/>
    <w:rsid w:val="00CC0B7E"/>
    <w:rsid w:val="00CC3BE9"/>
    <w:rsid w:val="00CC501D"/>
    <w:rsid w:val="00CD4DBD"/>
    <w:rsid w:val="00CD6378"/>
    <w:rsid w:val="00CD698A"/>
    <w:rsid w:val="00CD7A74"/>
    <w:rsid w:val="00CE0020"/>
    <w:rsid w:val="00CE4B6A"/>
    <w:rsid w:val="00CF2854"/>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46FC"/>
    <w:rsid w:val="00DA5206"/>
    <w:rsid w:val="00DA7D1B"/>
    <w:rsid w:val="00DB0576"/>
    <w:rsid w:val="00DB095B"/>
    <w:rsid w:val="00DB405A"/>
    <w:rsid w:val="00DB693A"/>
    <w:rsid w:val="00DC1B52"/>
    <w:rsid w:val="00DC32A0"/>
    <w:rsid w:val="00DC76B9"/>
    <w:rsid w:val="00DD268D"/>
    <w:rsid w:val="00DD3CBC"/>
    <w:rsid w:val="00DD3D1B"/>
    <w:rsid w:val="00DD7AA9"/>
    <w:rsid w:val="00DE0555"/>
    <w:rsid w:val="00DE6A1D"/>
    <w:rsid w:val="00DE7D13"/>
    <w:rsid w:val="00E00D16"/>
    <w:rsid w:val="00E02681"/>
    <w:rsid w:val="00E03C6A"/>
    <w:rsid w:val="00E0568C"/>
    <w:rsid w:val="00E0668A"/>
    <w:rsid w:val="00E0711D"/>
    <w:rsid w:val="00E07DB8"/>
    <w:rsid w:val="00E122A6"/>
    <w:rsid w:val="00E14C64"/>
    <w:rsid w:val="00E17016"/>
    <w:rsid w:val="00E2075D"/>
    <w:rsid w:val="00E23793"/>
    <w:rsid w:val="00E27231"/>
    <w:rsid w:val="00E31216"/>
    <w:rsid w:val="00E31C11"/>
    <w:rsid w:val="00E31EB4"/>
    <w:rsid w:val="00E32AF3"/>
    <w:rsid w:val="00E32DFC"/>
    <w:rsid w:val="00E36FE2"/>
    <w:rsid w:val="00E41D27"/>
    <w:rsid w:val="00E443E2"/>
    <w:rsid w:val="00E4519C"/>
    <w:rsid w:val="00E52E03"/>
    <w:rsid w:val="00E60A4E"/>
    <w:rsid w:val="00E661C1"/>
    <w:rsid w:val="00E70013"/>
    <w:rsid w:val="00E73627"/>
    <w:rsid w:val="00E764CC"/>
    <w:rsid w:val="00E80D77"/>
    <w:rsid w:val="00E821F2"/>
    <w:rsid w:val="00E868D2"/>
    <w:rsid w:val="00E90CBD"/>
    <w:rsid w:val="00EA0896"/>
    <w:rsid w:val="00EA253E"/>
    <w:rsid w:val="00EA4FC0"/>
    <w:rsid w:val="00EA5137"/>
    <w:rsid w:val="00EA6E13"/>
    <w:rsid w:val="00EB49E1"/>
    <w:rsid w:val="00EB4C13"/>
    <w:rsid w:val="00EB5279"/>
    <w:rsid w:val="00ED093F"/>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31B59"/>
    <w:rsid w:val="00F33C31"/>
    <w:rsid w:val="00F401AB"/>
    <w:rsid w:val="00F53643"/>
    <w:rsid w:val="00F550EB"/>
    <w:rsid w:val="00F5510A"/>
    <w:rsid w:val="00F56D8A"/>
    <w:rsid w:val="00F75363"/>
    <w:rsid w:val="00F8237E"/>
    <w:rsid w:val="00F830EE"/>
    <w:rsid w:val="00F96F0E"/>
    <w:rsid w:val="00FA091D"/>
    <w:rsid w:val="00FA6362"/>
    <w:rsid w:val="00FB0B9C"/>
    <w:rsid w:val="00FB1520"/>
    <w:rsid w:val="00FB21BE"/>
    <w:rsid w:val="00FB37FD"/>
    <w:rsid w:val="00FB3ED7"/>
    <w:rsid w:val="00FB7599"/>
    <w:rsid w:val="00FC14AA"/>
    <w:rsid w:val="00FC1978"/>
    <w:rsid w:val="00FC3516"/>
    <w:rsid w:val="00FC4D11"/>
    <w:rsid w:val="00FC7618"/>
    <w:rsid w:val="00FD1FF4"/>
    <w:rsid w:val="00FD3D3C"/>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fault">
    <w:name w:val="Default"/>
    <w:rsid w:val="002B1CB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062F-E0CC-4814-B01C-CCC293C5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1673</Words>
  <Characters>9538</Characters>
  <Application>Microsoft Office Word</Application>
  <DocSecurity>0</DocSecurity>
  <Lines>79</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19</cp:revision>
  <cp:lastPrinted>2016-04-14T13:15:00Z</cp:lastPrinted>
  <dcterms:created xsi:type="dcterms:W3CDTF">2016-10-25T05:59:00Z</dcterms:created>
  <dcterms:modified xsi:type="dcterms:W3CDTF">2016-11-22T09:45:00Z</dcterms:modified>
</cp:coreProperties>
</file>