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C40E" w14:textId="25B8E8DC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 w:rsidRPr="007704B9">
        <w:rPr>
          <w:rFonts w:ascii="Verdana" w:hAnsi="Verdana"/>
          <w:b/>
          <w:bCs/>
          <w:iCs/>
          <w:sz w:val="20"/>
          <w:szCs w:val="20"/>
        </w:rPr>
        <w:t>ПРИЛОЖЕНИЕ №</w:t>
      </w:r>
      <w:r w:rsidR="007704B9" w:rsidRPr="007704B9">
        <w:rPr>
          <w:rFonts w:ascii="Verdana" w:hAnsi="Verdana"/>
          <w:b/>
          <w:bCs/>
          <w:iCs/>
          <w:sz w:val="20"/>
          <w:szCs w:val="20"/>
        </w:rPr>
        <w:t xml:space="preserve"> 3</w:t>
      </w:r>
    </w:p>
    <w:p w14:paraId="4A141731" w14:textId="77777777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36FF44B" w14:textId="77777777" w:rsidR="002B1CB7" w:rsidRPr="00506847" w:rsidRDefault="002B1CB7" w:rsidP="002B1CB7">
      <w:pPr>
        <w:pStyle w:val="Default"/>
        <w:jc w:val="center"/>
        <w:rPr>
          <w:rFonts w:ascii="Verdana" w:hAnsi="Verdana"/>
        </w:rPr>
      </w:pPr>
      <w:r w:rsidRPr="00506847">
        <w:rPr>
          <w:rFonts w:ascii="Verdana" w:hAnsi="Verdana"/>
          <w:b/>
          <w:bCs/>
          <w:iCs/>
        </w:rPr>
        <w:t>МЕТОДИКА ЗА ОПРЕДЕЛЯНЕ НА КОМПЛЕКСНАТА ОЦЕНКА НА ОФЕРТИТЕ</w:t>
      </w:r>
    </w:p>
    <w:p w14:paraId="0B477206" w14:textId="77777777" w:rsidR="00E550E6" w:rsidRDefault="00E550E6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7DFD7AF4" w14:textId="77777777" w:rsidR="00252761" w:rsidRPr="007826EE" w:rsidRDefault="002B1CB7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7826EE">
        <w:rPr>
          <w:rFonts w:ascii="Verdana" w:hAnsi="Verdana"/>
          <w:b/>
          <w:bCs/>
          <w:sz w:val="20"/>
          <w:szCs w:val="20"/>
        </w:rPr>
        <w:t xml:space="preserve">КРИТЕРИИ, ПОКАЗАТЕЛИ, ОТНОСИТЕЛНАТА ИМ ТЕЖЕСТ И МЕТОДИКА ЗА ОПРЕДЕЛЯНЕ НА КОМПЛЕКСНАТА ОЦЕНКА НА ОФЕРТИТЕ </w:t>
      </w:r>
    </w:p>
    <w:p w14:paraId="1EAE60E1" w14:textId="77777777" w:rsidR="00506847" w:rsidRDefault="00506847" w:rsidP="00252761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14:paraId="4A3D2574" w14:textId="5F355DD1" w:rsidR="00252761" w:rsidRPr="00227EDD" w:rsidRDefault="00252761" w:rsidP="00252761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227EDD">
        <w:rPr>
          <w:rFonts w:ascii="Verdana" w:hAnsi="Verdana"/>
          <w:bCs/>
          <w:sz w:val="20"/>
          <w:szCs w:val="20"/>
        </w:rPr>
        <w:t xml:space="preserve">в открита процедура по ЗОП за възлагане на обществена поръчка с предмет: </w:t>
      </w:r>
    </w:p>
    <w:p w14:paraId="37FF9A5D" w14:textId="77777777" w:rsidR="00E550E6" w:rsidRDefault="00E550E6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</w:pPr>
      <w:r w:rsidRPr="00E550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>„Разработване на софтуер за управление на база данни, който ще групира предприятията според техния рисков потенциал“</w:t>
      </w:r>
    </w:p>
    <w:p w14:paraId="54A6A6EB" w14:textId="63D1B614" w:rsidR="005F4E35" w:rsidRPr="007826EE" w:rsidRDefault="00227EDD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227E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 xml:space="preserve"> </w:t>
      </w:r>
      <w:r w:rsidRPr="00A41900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от проект BG05M9OP001-3.004 „Оптимизация и иновации в ИА ГИТ“</w:t>
      </w:r>
    </w:p>
    <w:p w14:paraId="47812CF0" w14:textId="77777777" w:rsidR="00252761" w:rsidRPr="007826EE" w:rsidRDefault="00252761" w:rsidP="002527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3C2CF24D" w14:textId="1D9725EE" w:rsidR="00252761" w:rsidRPr="007826EE" w:rsidRDefault="00E550E6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252761" w:rsidRPr="007826EE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. Същност.</w:t>
      </w:r>
    </w:p>
    <w:p w14:paraId="0D045DDE" w14:textId="35F5104B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1. Оценяването и класирането на офертите на участниците се извършва по критерия „ИКОНОМИЧЕСКИ НАЙ-ИЗГОДНАТА ОФЕРТА”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съгласно чл. 70, ал. 2, т. 3 от ЗОП. Оценяването и класирането на постъпилите оферти ще се извърши в съответствие с изискван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ията на ЗОП. </w:t>
      </w:r>
    </w:p>
    <w:p w14:paraId="238AC4B4" w14:textId="78F923CE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ен, ефективен и ефикасен начин.</w:t>
      </w:r>
    </w:p>
    <w:p w14:paraId="731232F4" w14:textId="71E3F7EE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3. На комплексна оценка съгласно чл. 70, ал. 2, т. 3 от ЗОП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подлежат офертите на участници в процедурата, които не са отстранени от участие в процедурата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6EE13548" w14:textId="3684E6A6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поради несъответствие с услов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ията, поставени от възложителя.</w:t>
      </w:r>
    </w:p>
    <w:p w14:paraId="55646023" w14:textId="46DA33AC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знак след десетичната запетая.</w:t>
      </w:r>
    </w:p>
    <w:p w14:paraId="65F45CC4" w14:textId="77A7062B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6. Показателите и относителна тежест в комплексната оценка са опи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сани в настоящата документация.</w:t>
      </w:r>
    </w:p>
    <w:p w14:paraId="59CB2453" w14:textId="0FD3708F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7. Цените се предлагат в български лева, без включен ДДС, до втория 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знак след десетичната запетая. </w:t>
      </w:r>
    </w:p>
    <w:p w14:paraId="613D7CC9" w14:textId="239133FD" w:rsidR="00252761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8. В случай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че комплексните оценки на две или повече оферти са равни се прилагат разпоредбите на чл. 58 от ППЗОП. </w:t>
      </w:r>
    </w:p>
    <w:p w14:paraId="412F513E" w14:textId="053ABCA1" w:rsidR="00252761" w:rsidRDefault="00506847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9. Оценките на участниците по критериите, формиращи общата оценка на техническите показатели – показател </w:t>
      </w:r>
      <w:r w:rsidRPr="00506847">
        <w:rPr>
          <w:rFonts w:ascii="Verdana" w:eastAsia="Times New Roman" w:hAnsi="Verdana" w:cs="Times New Roman"/>
          <w:bCs/>
          <w:sz w:val="20"/>
          <w:szCs w:val="20"/>
          <w:lang w:val="bg-BG"/>
        </w:rPr>
        <w:t>„Организация за изпълнение на поръчката”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се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поставят въз основа на обща експертна оценка на членовете на комисията</w:t>
      </w:r>
      <w:r w:rsidR="00DA2235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за съответния участник</w:t>
      </w:r>
      <w:bookmarkStart w:id="0" w:name="_GoBack"/>
      <w:bookmarkEnd w:id="0"/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, в която писмено се мотивират поставените точки, с цел осигуряване на прозрачност и равнопоставеност.</w:t>
      </w:r>
    </w:p>
    <w:p w14:paraId="3D2A38F2" w14:textId="77777777" w:rsidR="00AB4AD6" w:rsidRPr="007826EE" w:rsidRDefault="00AB4AD6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5E6F66" w14:textId="08AA6F73" w:rsidR="005F4E35" w:rsidRDefault="005F4E3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</w:t>
      </w:r>
      <w:r w:rsidR="00503FB8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”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E550E6">
        <w:rPr>
          <w:rFonts w:ascii="Verdana" w:eastAsia="Times New Roman" w:hAnsi="Verdana" w:cs="Times New Roman"/>
          <w:bCs/>
          <w:sz w:val="20"/>
          <w:szCs w:val="20"/>
          <w:lang w:val="bg-BG"/>
        </w:rPr>
        <w:t>както следва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:</w:t>
      </w:r>
    </w:p>
    <w:p w14:paraId="0B80E016" w14:textId="77777777" w:rsidR="00506847" w:rsidRDefault="00506847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4040B9DB" w14:textId="17BE5127" w:rsidR="00E550E6" w:rsidRPr="00E550E6" w:rsidRDefault="00E550E6" w:rsidP="00E550E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ab/>
      </w:r>
      <w:r w:rsidRPr="00F450C5">
        <w:rPr>
          <w:rFonts w:ascii="Verdana" w:hAnsi="Verdana"/>
          <w:b/>
          <w:sz w:val="20"/>
          <w:szCs w:val="20"/>
          <w:lang w:val="en-US"/>
        </w:rPr>
        <w:t>2</w:t>
      </w:r>
      <w:r w:rsidRPr="00F450C5">
        <w:rPr>
          <w:rFonts w:ascii="Verdana" w:hAnsi="Verdana"/>
          <w:sz w:val="20"/>
          <w:szCs w:val="20"/>
          <w:lang w:val="en-US"/>
        </w:rPr>
        <w:t>.</w:t>
      </w:r>
      <w:r>
        <w:rPr>
          <w:sz w:val="23"/>
          <w:szCs w:val="23"/>
          <w:lang w:val="en-US"/>
        </w:rPr>
        <w:t xml:space="preserve"> </w:t>
      </w:r>
      <w:r w:rsidRPr="00E550E6">
        <w:rPr>
          <w:rFonts w:ascii="Verdana" w:hAnsi="Verdana"/>
          <w:b/>
          <w:sz w:val="20"/>
          <w:szCs w:val="20"/>
        </w:rPr>
        <w:t>Комплексната оценка (КО)</w:t>
      </w:r>
      <w:r w:rsidRPr="00E550E6">
        <w:rPr>
          <w:rFonts w:ascii="Verdana" w:hAnsi="Verdana"/>
          <w:sz w:val="20"/>
          <w:szCs w:val="20"/>
        </w:rPr>
        <w:t xml:space="preserve"> на всеки участник се получава като сума от оценките на офертата по следните два показателя: </w:t>
      </w:r>
    </w:p>
    <w:p w14:paraId="4DEC7F5C" w14:textId="77777777" w:rsidR="00E550E6" w:rsidRDefault="00E550E6" w:rsidP="00E550E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14:paraId="0E26E6FF" w14:textId="77777777" w:rsidR="00E550E6" w:rsidRPr="00E550E6" w:rsidRDefault="00E550E6" w:rsidP="00E550E6">
      <w:pPr>
        <w:pStyle w:val="Default"/>
        <w:jc w:val="both"/>
        <w:rPr>
          <w:rFonts w:ascii="Verdana" w:hAnsi="Verdana"/>
          <w:sz w:val="20"/>
          <w:szCs w:val="20"/>
        </w:rPr>
      </w:pPr>
      <w:r w:rsidRPr="00E550E6">
        <w:rPr>
          <w:rFonts w:ascii="Verdana" w:hAnsi="Verdana" w:cs="Verdana"/>
          <w:sz w:val="20"/>
          <w:szCs w:val="20"/>
        </w:rPr>
        <w:t xml:space="preserve">- </w:t>
      </w:r>
      <w:r w:rsidRPr="00E550E6">
        <w:rPr>
          <w:rFonts w:ascii="Verdana" w:hAnsi="Verdana"/>
          <w:b/>
          <w:bCs/>
          <w:sz w:val="20"/>
          <w:szCs w:val="20"/>
        </w:rPr>
        <w:t xml:space="preserve">Показател „Организация за изпълнение на поръчката” (ОП) с максимален брой точки 100 и относителна тежест в комплексната оценка – 70 % (0,70). </w:t>
      </w:r>
    </w:p>
    <w:p w14:paraId="05786F5A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8547156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Показател „Ценово предложение” (ЦП) с максимален брой точки 100 и относителна тежест в комплексната оценка – 30 % (0,30). </w:t>
      </w:r>
    </w:p>
    <w:p w14:paraId="5A8CDF6F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69649471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Комплексната оценка на офертите се формира по следната формула: </w:t>
      </w:r>
    </w:p>
    <w:p w14:paraId="271F3DEF" w14:textId="77777777" w:rsidR="001B0A7E" w:rsidRDefault="001B0A7E" w:rsidP="00E550E6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529F9B33" w14:textId="7497CE6A" w:rsidR="00E550E6" w:rsidRPr="001B0A7E" w:rsidRDefault="00E550E6" w:rsidP="001B0A7E">
      <w:pPr>
        <w:pStyle w:val="Default"/>
        <w:jc w:val="center"/>
        <w:rPr>
          <w:rFonts w:ascii="Verdana" w:hAnsi="Verdana"/>
          <w:color w:val="auto"/>
        </w:rPr>
      </w:pPr>
      <w:r w:rsidRPr="001B0A7E">
        <w:rPr>
          <w:rFonts w:ascii="Verdana" w:hAnsi="Verdana"/>
          <w:b/>
          <w:bCs/>
          <w:color w:val="auto"/>
        </w:rPr>
        <w:t>КО = 0,7 х ОП +0,3 х ЦП</w:t>
      </w:r>
    </w:p>
    <w:p w14:paraId="04DED3D4" w14:textId="77777777" w:rsid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011DFCC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color w:val="auto"/>
          <w:sz w:val="20"/>
          <w:szCs w:val="20"/>
        </w:rPr>
        <w:t xml:space="preserve">където: </w:t>
      </w:r>
    </w:p>
    <w:p w14:paraId="58C38101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КО </w:t>
      </w:r>
      <w:r w:rsidRPr="00E550E6">
        <w:rPr>
          <w:rFonts w:ascii="Verdana" w:hAnsi="Verdana"/>
          <w:color w:val="auto"/>
          <w:sz w:val="20"/>
          <w:szCs w:val="20"/>
        </w:rPr>
        <w:t xml:space="preserve">е комплексната оценка на конкретната оферта на участника; </w:t>
      </w:r>
    </w:p>
    <w:p w14:paraId="5F38F2C8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ОП </w:t>
      </w:r>
      <w:r w:rsidRPr="00E550E6">
        <w:rPr>
          <w:rFonts w:ascii="Verdana" w:hAnsi="Verdana"/>
          <w:color w:val="auto"/>
          <w:sz w:val="20"/>
          <w:szCs w:val="20"/>
        </w:rPr>
        <w:t xml:space="preserve">е оценката по показателя „Организация за изпълнение на поръчката” на участника. </w:t>
      </w:r>
    </w:p>
    <w:p w14:paraId="26C6C052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0,7 </w:t>
      </w:r>
      <w:r w:rsidRPr="00E550E6">
        <w:rPr>
          <w:rFonts w:ascii="Verdana" w:hAnsi="Verdana"/>
          <w:color w:val="auto"/>
          <w:sz w:val="20"/>
          <w:szCs w:val="20"/>
        </w:rPr>
        <w:t xml:space="preserve">е относителната тежест на показателя ОП в крайната оценка. </w:t>
      </w:r>
    </w:p>
    <w:p w14:paraId="31CCBF37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ЦП </w:t>
      </w:r>
      <w:r w:rsidRPr="00E550E6">
        <w:rPr>
          <w:rFonts w:ascii="Verdana" w:hAnsi="Verdana"/>
          <w:color w:val="auto"/>
          <w:sz w:val="20"/>
          <w:szCs w:val="20"/>
        </w:rPr>
        <w:t xml:space="preserve">е оценката по показателя „Ценово предложение” на участника. </w:t>
      </w:r>
    </w:p>
    <w:p w14:paraId="16D06804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 xml:space="preserve">0,3 </w:t>
      </w:r>
      <w:r w:rsidRPr="00E550E6">
        <w:rPr>
          <w:rFonts w:ascii="Verdana" w:hAnsi="Verdana"/>
          <w:color w:val="auto"/>
          <w:sz w:val="20"/>
          <w:szCs w:val="20"/>
        </w:rPr>
        <w:t xml:space="preserve">е относителната тежест на показателя ЦП в крайната оценка. </w:t>
      </w:r>
    </w:p>
    <w:p w14:paraId="7371129A" w14:textId="77777777" w:rsidR="00E550E6" w:rsidRDefault="00E550E6" w:rsidP="00E550E6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54331C6C" w14:textId="77777777" w:rsidR="00E550E6" w:rsidRPr="00E550E6" w:rsidRDefault="00E550E6" w:rsidP="00E550E6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E550E6">
        <w:rPr>
          <w:rFonts w:ascii="Verdana" w:hAnsi="Verdana"/>
          <w:b/>
          <w:bCs/>
          <w:color w:val="auto"/>
          <w:sz w:val="20"/>
          <w:szCs w:val="20"/>
        </w:rPr>
        <w:t>Максималната стойност на комплексната оценка (КО) е 100 точки.</w:t>
      </w:r>
    </w:p>
    <w:p w14:paraId="47D63333" w14:textId="77777777" w:rsidR="00E550E6" w:rsidRPr="00E550E6" w:rsidRDefault="00E550E6" w:rsidP="00E550E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7F770ECE" w14:textId="46D408CF" w:rsidR="00E550E6" w:rsidRPr="00E550E6" w:rsidRDefault="00E550E6" w:rsidP="00E550E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3. </w:t>
      </w:r>
      <w:r w:rsidRPr="00E550E6">
        <w:rPr>
          <w:rFonts w:ascii="Verdana" w:hAnsi="Verdana"/>
          <w:b/>
          <w:bCs/>
          <w:sz w:val="20"/>
          <w:szCs w:val="20"/>
        </w:rPr>
        <w:t>Определяне на оценките по всеки показател</w:t>
      </w:r>
      <w:r w:rsidR="00F450C5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E550E6">
        <w:rPr>
          <w:rFonts w:ascii="Verdana" w:hAnsi="Verdana"/>
          <w:b/>
          <w:bCs/>
          <w:sz w:val="20"/>
          <w:szCs w:val="20"/>
        </w:rPr>
        <w:t xml:space="preserve"> </w:t>
      </w:r>
    </w:p>
    <w:p w14:paraId="474EFDE6" w14:textId="77777777" w:rsidR="00E550E6" w:rsidRDefault="00E550E6" w:rsidP="00E550E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670847E6" w14:textId="53CB2112" w:rsidR="00E550E6" w:rsidRPr="00E550E6" w:rsidRDefault="00E550E6" w:rsidP="00E550E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E550E6">
        <w:rPr>
          <w:rFonts w:ascii="Verdana" w:hAnsi="Verdana"/>
          <w:b/>
          <w:bCs/>
          <w:sz w:val="20"/>
          <w:szCs w:val="20"/>
        </w:rPr>
        <w:t xml:space="preserve">3.1. Показателят „Организация за изпълнение на поръчката” (ОП), с максимален брой точки 100 - </w:t>
      </w:r>
      <w:r w:rsidRPr="00E550E6">
        <w:rPr>
          <w:rFonts w:ascii="Verdana" w:hAnsi="Verdana"/>
          <w:sz w:val="20"/>
          <w:szCs w:val="20"/>
        </w:rPr>
        <w:t xml:space="preserve">представлява оценка на Техническото предложение за изпълнение на поръчката на участника в съответствие с изискванията на Възложителя, заложени в Техническата спецификация за постигане на заложените цели и очакваните резултати. В Техническото предложение за изпълнение на поръчката се изисква от участника да представи </w:t>
      </w:r>
      <w:r w:rsidR="006E6B76">
        <w:rPr>
          <w:rFonts w:ascii="Verdana" w:hAnsi="Verdana"/>
          <w:sz w:val="20"/>
          <w:szCs w:val="20"/>
        </w:rPr>
        <w:t xml:space="preserve">своята цялостна концепция за </w:t>
      </w:r>
      <w:r w:rsidRPr="00E550E6">
        <w:rPr>
          <w:rFonts w:ascii="Verdana" w:hAnsi="Verdana"/>
          <w:sz w:val="20"/>
          <w:szCs w:val="20"/>
        </w:rPr>
        <w:t xml:space="preserve">организация </w:t>
      </w:r>
      <w:r w:rsidR="006E6B76">
        <w:rPr>
          <w:rFonts w:ascii="Verdana" w:hAnsi="Verdana"/>
          <w:sz w:val="20"/>
          <w:szCs w:val="20"/>
        </w:rPr>
        <w:t>и</w:t>
      </w:r>
      <w:r w:rsidRPr="00E550E6">
        <w:rPr>
          <w:rFonts w:ascii="Verdana" w:hAnsi="Verdana"/>
          <w:sz w:val="20"/>
          <w:szCs w:val="20"/>
        </w:rPr>
        <w:t xml:space="preserve"> изпълнение на </w:t>
      </w:r>
      <w:r w:rsidR="006E6B76">
        <w:rPr>
          <w:rFonts w:ascii="Verdana" w:hAnsi="Verdana"/>
          <w:sz w:val="20"/>
          <w:szCs w:val="20"/>
        </w:rPr>
        <w:t xml:space="preserve">всички етапи и дейности съгласно Техническата спецификация на Възложителя. </w:t>
      </w:r>
    </w:p>
    <w:p w14:paraId="78319213" w14:textId="6A216862" w:rsidR="00E550E6" w:rsidRDefault="00E550E6" w:rsidP="00506847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E550E6">
        <w:rPr>
          <w:rFonts w:ascii="Verdana" w:hAnsi="Verdana"/>
          <w:color w:val="auto"/>
          <w:sz w:val="20"/>
          <w:szCs w:val="20"/>
        </w:rPr>
        <w:t xml:space="preserve"> </w:t>
      </w:r>
    </w:p>
    <w:p w14:paraId="66EF9D3A" w14:textId="77777777" w:rsidR="00E550E6" w:rsidRPr="00E550E6" w:rsidRDefault="00E550E6" w:rsidP="00E550E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E550E6" w:rsidRPr="00E550E6" w14:paraId="2C852E3B" w14:textId="77777777" w:rsidTr="00E550E6">
        <w:trPr>
          <w:trHeight w:val="387"/>
        </w:trPr>
        <w:tc>
          <w:tcPr>
            <w:tcW w:w="3397" w:type="dxa"/>
          </w:tcPr>
          <w:p w14:paraId="35A59002" w14:textId="20B67590" w:rsidR="00E550E6" w:rsidRPr="001B0A7E" w:rsidRDefault="00E550E6" w:rsidP="00E550E6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Присъждани точки</w:t>
            </w:r>
            <w:r w:rsidR="001B0A7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(брой)</w:t>
            </w:r>
            <w:r w:rsidRPr="00E550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в резултат на експертната оценка на Организация за изпълнение на поръчката:</w:t>
            </w:r>
          </w:p>
        </w:tc>
        <w:tc>
          <w:tcPr>
            <w:tcW w:w="5670" w:type="dxa"/>
          </w:tcPr>
          <w:p w14:paraId="2B927452" w14:textId="77777777" w:rsidR="00E550E6" w:rsidRPr="00E550E6" w:rsidRDefault="00E550E6" w:rsidP="001B0A7E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 xml:space="preserve">Качествено ниво на организацията за изпълнение, установено въз основа на оценка на Техническото предложението за изпълнение на поръчката </w:t>
            </w:r>
          </w:p>
        </w:tc>
      </w:tr>
      <w:tr w:rsidR="00E550E6" w:rsidRPr="00E550E6" w14:paraId="5534629B" w14:textId="77777777" w:rsidTr="00A41900">
        <w:trPr>
          <w:trHeight w:val="824"/>
        </w:trPr>
        <w:tc>
          <w:tcPr>
            <w:tcW w:w="3397" w:type="dxa"/>
          </w:tcPr>
          <w:p w14:paraId="5D3B14B3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0C4B4901" w14:textId="1888A5EB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</w:t>
            </w: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14:paraId="265CE7C6" w14:textId="3F916F82" w:rsidR="00E550E6" w:rsidRPr="00E550E6" w:rsidRDefault="00E550E6" w:rsidP="00E550E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>Предложен</w:t>
            </w:r>
            <w:r w:rsidR="00A41900">
              <w:rPr>
                <w:rFonts w:ascii="Verdana" w:hAnsi="Verdana"/>
                <w:sz w:val="20"/>
                <w:szCs w:val="20"/>
              </w:rPr>
              <w:t>ието за изпълнение на поръчката отговаря на</w:t>
            </w:r>
            <w:r w:rsidRPr="00E550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900">
              <w:rPr>
                <w:rFonts w:ascii="Verdana" w:hAnsi="Verdana"/>
                <w:sz w:val="20"/>
                <w:szCs w:val="20"/>
              </w:rPr>
              <w:t>всички</w:t>
            </w:r>
            <w:r w:rsidRPr="00E550E6">
              <w:rPr>
                <w:rFonts w:ascii="Verdana" w:hAnsi="Verdana"/>
                <w:sz w:val="20"/>
                <w:szCs w:val="20"/>
              </w:rPr>
              <w:t xml:space="preserve"> изисквания на Възложителя, посочени в Техническата спецификация</w:t>
            </w:r>
            <w:r w:rsidR="00A4190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550E6" w:rsidRPr="00E550E6" w14:paraId="57E4A1CA" w14:textId="77777777" w:rsidTr="00E550E6">
        <w:trPr>
          <w:trHeight w:val="943"/>
        </w:trPr>
        <w:tc>
          <w:tcPr>
            <w:tcW w:w="3397" w:type="dxa"/>
          </w:tcPr>
          <w:p w14:paraId="556B9FFC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E55C58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144E9F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B7BFAE" w14:textId="4D51F386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05415B38" w14:textId="77777777" w:rsidR="00E550E6" w:rsidRPr="001B0A7E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B0A7E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37552120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В предложения от участника подход за изготвяне на детайлна техническа спецификация (системен проект) са посочени отделните стъпки, методи и инструменти, които ще използва за осигуряване на крайния резултат - специфицирани всички изисквания към Софтуера за управление на рисковия потенциал. </w:t>
            </w:r>
          </w:p>
        </w:tc>
      </w:tr>
      <w:tr w:rsidR="00E550E6" w:rsidRPr="00E550E6" w14:paraId="56134087" w14:textId="77777777" w:rsidTr="00E550E6">
        <w:trPr>
          <w:trHeight w:val="943"/>
        </w:trPr>
        <w:tc>
          <w:tcPr>
            <w:tcW w:w="3397" w:type="dxa"/>
          </w:tcPr>
          <w:p w14:paraId="7418FB81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1FA210" w14:textId="5BF83CA3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4D993E4A" w14:textId="77777777" w:rsidR="00E550E6" w:rsidRPr="001B0A7E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B0A7E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0AF78E1A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Участникът е предложил подход за софтуерна разработка, като е посочил необходимите инструменти за следене на прогреса на развитие на системата и разпределение на задачите, процедурите по управление на програмния код и процедура/система за документиране и управление на софтуерните грешки/несъответствия/проблеми. </w:t>
            </w:r>
          </w:p>
        </w:tc>
      </w:tr>
      <w:tr w:rsidR="00E550E6" w:rsidRPr="00E550E6" w14:paraId="27044529" w14:textId="77777777" w:rsidTr="00E550E6">
        <w:trPr>
          <w:trHeight w:val="667"/>
        </w:trPr>
        <w:tc>
          <w:tcPr>
            <w:tcW w:w="3397" w:type="dxa"/>
          </w:tcPr>
          <w:p w14:paraId="15691CFC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89BE4B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9F6704" w14:textId="60AE5256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6D3FD479" w14:textId="77777777" w:rsidR="00E550E6" w:rsidRPr="001B0A7E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B0A7E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44C725DC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Участникът е направил анализ на функционалните изисквания и е специфицирал модулите, които ще бъдат реализирани за изпълнение на изискванията. </w:t>
            </w:r>
          </w:p>
        </w:tc>
      </w:tr>
      <w:tr w:rsidR="00E550E6" w:rsidRPr="00E550E6" w14:paraId="07A630B5" w14:textId="77777777" w:rsidTr="00E550E6">
        <w:trPr>
          <w:trHeight w:val="667"/>
        </w:trPr>
        <w:tc>
          <w:tcPr>
            <w:tcW w:w="3397" w:type="dxa"/>
          </w:tcPr>
          <w:p w14:paraId="4B563FC7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D98AF0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2B3E445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DE005F" w14:textId="1A99A6DA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14:paraId="04C12B7C" w14:textId="77777777" w:rsidR="00E550E6" w:rsidRPr="001B0A7E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B0A7E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01ADE7E7" w14:textId="53CB1624" w:rsidR="00E550E6" w:rsidRPr="00E550E6" w:rsidRDefault="00E550E6" w:rsidP="001B0A7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Участникът е предложил детайлно описание на начина и подхода за обучение на 340 служителя на Възложителя (съгласно Дейност 2), включващо </w:t>
            </w:r>
            <w:r w:rsidR="001B0A7E">
              <w:rPr>
                <w:rFonts w:ascii="Verdana" w:hAnsi="Verdana"/>
                <w:sz w:val="20"/>
                <w:szCs w:val="20"/>
              </w:rPr>
              <w:t xml:space="preserve">примерен </w:t>
            </w:r>
            <w:r w:rsidRPr="00E550E6">
              <w:rPr>
                <w:rFonts w:ascii="Verdana" w:hAnsi="Verdana"/>
                <w:sz w:val="20"/>
                <w:szCs w:val="20"/>
              </w:rPr>
              <w:t xml:space="preserve">график </w:t>
            </w:r>
            <w:r w:rsidR="001B0A7E">
              <w:rPr>
                <w:rFonts w:ascii="Verdana" w:hAnsi="Verdana"/>
                <w:sz w:val="20"/>
                <w:szCs w:val="20"/>
              </w:rPr>
              <w:t xml:space="preserve">и програма </w:t>
            </w:r>
            <w:r w:rsidRPr="00E550E6">
              <w:rPr>
                <w:rFonts w:ascii="Verdana" w:hAnsi="Verdana"/>
                <w:sz w:val="20"/>
                <w:szCs w:val="20"/>
              </w:rPr>
              <w:t>за обучени</w:t>
            </w:r>
            <w:r w:rsidR="001B0A7E">
              <w:rPr>
                <w:rFonts w:ascii="Verdana" w:hAnsi="Verdana"/>
                <w:sz w:val="20"/>
                <w:szCs w:val="20"/>
              </w:rPr>
              <w:t>ята</w:t>
            </w:r>
            <w:r w:rsidRPr="00E550E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550E6">
              <w:rPr>
                <w:rFonts w:ascii="Verdana" w:hAnsi="Verdana"/>
                <w:sz w:val="20"/>
                <w:szCs w:val="20"/>
              </w:rPr>
              <w:lastRenderedPageBreak/>
              <w:t>описание на предложените хотели и зали за обучение</w:t>
            </w:r>
            <w:r w:rsidR="001B0A7E">
              <w:rPr>
                <w:rFonts w:ascii="Verdana" w:hAnsi="Verdana"/>
                <w:sz w:val="20"/>
                <w:szCs w:val="20"/>
              </w:rPr>
              <w:t>.</w:t>
            </w:r>
            <w:r w:rsidRPr="00E550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0E6" w:rsidRPr="00E550E6" w14:paraId="1F1D8DBD" w14:textId="77777777" w:rsidTr="00E550E6">
        <w:trPr>
          <w:trHeight w:val="805"/>
        </w:trPr>
        <w:tc>
          <w:tcPr>
            <w:tcW w:w="3397" w:type="dxa"/>
          </w:tcPr>
          <w:p w14:paraId="6A48DEB1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940BEA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299BACB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A7548B" w14:textId="13A2CB78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67631939" w14:textId="77777777" w:rsidR="00E550E6" w:rsidRPr="003161FA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1FA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5FCB8E43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Участникът е посочил как избраната от него методологията за управление на проекти ще бъде приспособена към настоящата поръчка за успешното управление на проекта, което включва управление на дейности, ресурси, време, качество. </w:t>
            </w:r>
          </w:p>
        </w:tc>
      </w:tr>
      <w:tr w:rsidR="00E550E6" w:rsidRPr="00E550E6" w14:paraId="02820B81" w14:textId="77777777" w:rsidTr="00E550E6">
        <w:trPr>
          <w:trHeight w:val="1797"/>
        </w:trPr>
        <w:tc>
          <w:tcPr>
            <w:tcW w:w="3397" w:type="dxa"/>
          </w:tcPr>
          <w:p w14:paraId="4E9FCCB8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637D99EA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64869580" w14:textId="77777777" w:rsidR="00E550E6" w:rsidRDefault="00E550E6" w:rsidP="00E550E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4BD346A1" w14:textId="67647F00" w:rsidR="00E550E6" w:rsidRPr="00E550E6" w:rsidRDefault="00E550E6" w:rsidP="00E550E6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</w:t>
            </w:r>
            <w:r w:rsidRPr="00E550E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03496675" w14:textId="77777777" w:rsidR="00E550E6" w:rsidRPr="003161FA" w:rsidRDefault="00E550E6" w:rsidP="00F36EA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1FA">
              <w:rPr>
                <w:rFonts w:ascii="Verdana" w:hAnsi="Verdana"/>
                <w:b/>
                <w:sz w:val="20"/>
                <w:szCs w:val="20"/>
              </w:rPr>
              <w:t xml:space="preserve">При наличие в Техническото предложение за изпълнение на поръчката на следното обстоятелство: </w:t>
            </w:r>
          </w:p>
          <w:p w14:paraId="31EC536C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Участникът е предложил работещ прототип, отговарящ на изискванията на техническата спецификация, демонстриращ неговото предложение за реализация на системата и начина за работа с нея. Участникът е приложил към прототипа в техническото предложение: </w:t>
            </w:r>
          </w:p>
          <w:p w14:paraId="52492390" w14:textId="77777777" w:rsidR="00E550E6" w:rsidRPr="00E550E6" w:rsidRDefault="00E550E6" w:rsidP="00E550E6">
            <w:pPr>
              <w:pStyle w:val="Default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разпечатка на всички входни и резултатни екрани, които се визуализират чрез разработката; </w:t>
            </w:r>
          </w:p>
          <w:p w14:paraId="5AE6272C" w14:textId="77777777" w:rsidR="00E550E6" w:rsidRPr="00E550E6" w:rsidRDefault="00E550E6" w:rsidP="00E550E6">
            <w:pPr>
              <w:pStyle w:val="Default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>описание на последователността от стъпки, които водят до визуализация на всеки от екраните, както и конкретните данни, които следва да се въведат, за да се получи визуализирания резултат;</w:t>
            </w:r>
          </w:p>
          <w:p w14:paraId="4A79B759" w14:textId="77777777" w:rsidR="00E550E6" w:rsidRPr="00E550E6" w:rsidRDefault="00E550E6" w:rsidP="00E550E6">
            <w:pPr>
              <w:pStyle w:val="Default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описание на използваните технологии за реализация на прототипа; </w:t>
            </w:r>
          </w:p>
          <w:p w14:paraId="3A7BAE8B" w14:textId="77777777" w:rsidR="00E550E6" w:rsidRPr="00E550E6" w:rsidRDefault="00E550E6" w:rsidP="00E550E6">
            <w:pPr>
              <w:pStyle w:val="Default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E550E6">
              <w:rPr>
                <w:rFonts w:ascii="Verdana" w:hAnsi="Verdana"/>
                <w:sz w:val="20"/>
                <w:szCs w:val="20"/>
              </w:rPr>
              <w:t xml:space="preserve">посочване на интернет адрес на разработката, на който да могат да бъдат проследени описаните по-горе функционалности. </w:t>
            </w:r>
          </w:p>
          <w:p w14:paraId="35E3E2D6" w14:textId="77777777" w:rsidR="00E550E6" w:rsidRPr="00E550E6" w:rsidRDefault="00E550E6" w:rsidP="00F36EA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07A31D" w14:textId="77777777" w:rsidR="00AB4AD6" w:rsidRDefault="00AB4AD6" w:rsidP="00AB4AD6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21D33FBB" w14:textId="6CDF8986" w:rsidR="00E550E6" w:rsidRDefault="00AB4AD6" w:rsidP="00305D04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Присъждането на точки се извършва по следния начин:</w:t>
      </w:r>
      <w:r w:rsidR="00305D0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2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0 точки получава Техническото предложение, което отговаря на минималните</w:t>
      </w:r>
      <w:r w:rsidR="00A41900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(всички)</w:t>
      </w:r>
      <w:r w:rsidR="00305D0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изисквания на Възложителя</w:t>
      </w:r>
      <w:r w:rsidR="00A41900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посочени в Техническата спецификация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. В случай, че Техническото предложението не отговаря на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изискванията на Възложителя, офертата не се допуска до оценка, а участникът се отстранява.</w:t>
      </w:r>
      <w:r w:rsidR="00305D0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За наличието на всяко едно обстоятелство в Техническото 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предложението за изпълнение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AB4AD6">
        <w:rPr>
          <w:rFonts w:ascii="Verdana" w:eastAsia="Times New Roman" w:hAnsi="Verdana" w:cs="Times New Roman"/>
          <w:bCs/>
          <w:sz w:val="20"/>
          <w:szCs w:val="20"/>
          <w:lang w:val="bg-BG"/>
        </w:rPr>
        <w:t>на поръчката посочено в таблицата, допълнително се присъждат посочените за него точки.</w:t>
      </w:r>
    </w:p>
    <w:p w14:paraId="4AB17191" w14:textId="77777777" w:rsidR="00AB4AD6" w:rsidRDefault="00AB4AD6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690655" w14:textId="069F7396" w:rsidR="00F450C5" w:rsidRDefault="00F450C5" w:rsidP="00F450C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</w:r>
      <w:r w:rsidRPr="00F450C5">
        <w:rPr>
          <w:rFonts w:ascii="Verdana" w:hAnsi="Verdana" w:cs="Verdana"/>
          <w:b/>
          <w:color w:val="auto"/>
          <w:sz w:val="20"/>
          <w:szCs w:val="20"/>
          <w:lang w:val="en-US"/>
        </w:rPr>
        <w:t>3.2.</w:t>
      </w:r>
      <w:r w:rsidRPr="00E550E6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E550E6">
        <w:rPr>
          <w:rFonts w:ascii="Verdana" w:hAnsi="Verdana"/>
          <w:b/>
          <w:bCs/>
          <w:color w:val="auto"/>
          <w:sz w:val="20"/>
          <w:szCs w:val="20"/>
        </w:rPr>
        <w:t>Показател „Ценово предложение” (ЦП) с максимален брой точки 100 и относителна тежест в ком</w:t>
      </w:r>
      <w:r>
        <w:rPr>
          <w:rFonts w:ascii="Verdana" w:hAnsi="Verdana"/>
          <w:b/>
          <w:bCs/>
          <w:color w:val="auto"/>
          <w:sz w:val="20"/>
          <w:szCs w:val="20"/>
        </w:rPr>
        <w:t>плексната оценка – 30 % (0</w:t>
      </w:r>
      <w:proofErr w:type="gramStart"/>
      <w:r>
        <w:rPr>
          <w:rFonts w:ascii="Verdana" w:hAnsi="Verdana"/>
          <w:b/>
          <w:bCs/>
          <w:color w:val="auto"/>
          <w:sz w:val="20"/>
          <w:szCs w:val="20"/>
        </w:rPr>
        <w:t>,30</w:t>
      </w:r>
      <w:proofErr w:type="gramEnd"/>
      <w:r>
        <w:rPr>
          <w:rFonts w:ascii="Verdana" w:hAnsi="Verdana"/>
          <w:b/>
          <w:bCs/>
          <w:color w:val="auto"/>
          <w:sz w:val="20"/>
          <w:szCs w:val="20"/>
        </w:rPr>
        <w:t>)</w:t>
      </w:r>
      <w:r w:rsidR="003161FA">
        <w:rPr>
          <w:rFonts w:ascii="Verdana" w:hAnsi="Verdana"/>
          <w:b/>
          <w:bCs/>
          <w:color w:val="auto"/>
          <w:sz w:val="20"/>
          <w:szCs w:val="20"/>
        </w:rPr>
        <w:t>,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се изчислява по формулата:</w:t>
      </w:r>
    </w:p>
    <w:p w14:paraId="5E4F47F7" w14:textId="77777777" w:rsidR="00F450C5" w:rsidRPr="00F450C5" w:rsidRDefault="00F450C5" w:rsidP="00F450C5">
      <w:pPr>
        <w:pStyle w:val="Defaul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</w:p>
    <w:p w14:paraId="1024B1C4" w14:textId="6679228C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n</w:t>
      </w: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=      C </w:t>
      </w:r>
      <w:proofErr w:type="spellStart"/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/C n  X 100, където:</w:t>
      </w:r>
    </w:p>
    <w:p w14:paraId="6AC4593C" w14:textId="6829784D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n</w:t>
      </w: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е показателят за цена на n-тия участник;</w:t>
      </w:r>
    </w:p>
    <w:p w14:paraId="09A03302" w14:textId="77777777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C </w:t>
      </w:r>
      <w:proofErr w:type="spellStart"/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е най-ниската предложена цена от участник в процедурата, без начислено ДДС;</w:t>
      </w:r>
    </w:p>
    <w:p w14:paraId="61D18FE4" w14:textId="77777777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C n  е предложената цена от n-тия участник в процедурата, без начислено</w:t>
      </w:r>
    </w:p>
    <w:p w14:paraId="3F8A1890" w14:textId="77777777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ДДС;</w:t>
      </w:r>
    </w:p>
    <w:p w14:paraId="2FDD1405" w14:textId="77777777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4F55D723" w14:textId="210A34D4" w:rsidR="00F450C5" w:rsidRP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За този показател (Ц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</w:t>
      </w:r>
      <w:r w:rsidRPr="00F450C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) се присъждат максимум 100 точки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.</w:t>
      </w:r>
    </w:p>
    <w:p w14:paraId="1D5D8695" w14:textId="77777777" w:rsidR="00F450C5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13E36426" w14:textId="77777777" w:rsidR="00F450C5" w:rsidRPr="007826EE" w:rsidRDefault="00F450C5" w:rsidP="00F450C5">
      <w:pPr>
        <w:suppressAutoHyphens/>
        <w:spacing w:before="86" w:after="0" w:line="240" w:lineRule="exact"/>
        <w:ind w:firstLine="72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Забележка: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настоящата Методика, използваните в нея думи следва да се разбират съгласно значението им в „Речник на българския език - БАН". </w:t>
      </w:r>
      <w:r w:rsidRPr="007826EE">
        <w:rPr>
          <w:rFonts w:ascii="Verdana" w:eastAsia="Times New Roman" w:hAnsi="Verdana" w:cs="Times New Roman"/>
          <w:sz w:val="20"/>
          <w:szCs w:val="20"/>
          <w:lang w:val="bg-BG"/>
        </w:rPr>
        <w:t>Ако получените оценки (комплексна, техническа, финансова или точкова оценка) не са цели числа, а десетични дроби, те следва да се закръглят до втория знак след десетичната запетая.</w:t>
      </w:r>
    </w:p>
    <w:p w14:paraId="3049A248" w14:textId="77777777" w:rsidR="00F450C5" w:rsidRDefault="00F450C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sectPr w:rsidR="00F450C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439C" w14:textId="77777777" w:rsidR="00335754" w:rsidRDefault="00335754" w:rsidP="00B15A1F">
      <w:pPr>
        <w:spacing w:after="0" w:line="240" w:lineRule="auto"/>
      </w:pPr>
      <w:r>
        <w:separator/>
      </w:r>
    </w:p>
  </w:endnote>
  <w:endnote w:type="continuationSeparator" w:id="0">
    <w:p w14:paraId="5B61D050" w14:textId="77777777" w:rsidR="00335754" w:rsidRDefault="00335754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A2235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A2235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AC9C6" w14:textId="77777777" w:rsidR="00335754" w:rsidRDefault="00335754" w:rsidP="00B15A1F">
      <w:pPr>
        <w:spacing w:after="0" w:line="240" w:lineRule="auto"/>
      </w:pPr>
      <w:r>
        <w:separator/>
      </w:r>
    </w:p>
  </w:footnote>
  <w:footnote w:type="continuationSeparator" w:id="0">
    <w:p w14:paraId="4E4A488E" w14:textId="77777777" w:rsidR="00335754" w:rsidRDefault="00335754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0F3A578A"/>
    <w:multiLevelType w:val="hybridMultilevel"/>
    <w:tmpl w:val="01E03776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9700B"/>
    <w:multiLevelType w:val="hybridMultilevel"/>
    <w:tmpl w:val="DDEC5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9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3BEE"/>
    <w:multiLevelType w:val="singleLevel"/>
    <w:tmpl w:val="726AE7BE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36A87"/>
    <w:multiLevelType w:val="hybridMultilevel"/>
    <w:tmpl w:val="351E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3" w15:restartNumberingAfterBreak="0">
    <w:nsid w:val="37777F93"/>
    <w:multiLevelType w:val="hybridMultilevel"/>
    <w:tmpl w:val="B2BC59D8"/>
    <w:lvl w:ilvl="0" w:tplc="365CE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FC2702"/>
    <w:multiLevelType w:val="hybridMultilevel"/>
    <w:tmpl w:val="252096BA"/>
    <w:lvl w:ilvl="0" w:tplc="3AC4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6624C6"/>
    <w:multiLevelType w:val="hybridMultilevel"/>
    <w:tmpl w:val="3AF4F9EC"/>
    <w:lvl w:ilvl="0" w:tplc="684C81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AA633C"/>
    <w:multiLevelType w:val="hybridMultilevel"/>
    <w:tmpl w:val="A6C6A600"/>
    <w:lvl w:ilvl="0" w:tplc="300E19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726DB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E746EA1"/>
    <w:multiLevelType w:val="hybridMultilevel"/>
    <w:tmpl w:val="B3D2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1F47"/>
    <w:multiLevelType w:val="singleLevel"/>
    <w:tmpl w:val="4EA2045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4" w15:restartNumberingAfterBreak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F13E32"/>
    <w:multiLevelType w:val="hybridMultilevel"/>
    <w:tmpl w:val="09D241FE"/>
    <w:lvl w:ilvl="0" w:tplc="8F38E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B5566"/>
    <w:multiLevelType w:val="hybridMultilevel"/>
    <w:tmpl w:val="66EAB8B6"/>
    <w:lvl w:ilvl="0" w:tplc="16180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40D28"/>
    <w:multiLevelType w:val="hybridMultilevel"/>
    <w:tmpl w:val="C49E5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42"/>
  </w:num>
  <w:num w:numId="4">
    <w:abstractNumId w:val="10"/>
  </w:num>
  <w:num w:numId="5">
    <w:abstractNumId w:val="14"/>
  </w:num>
  <w:num w:numId="6">
    <w:abstractNumId w:val="29"/>
  </w:num>
  <w:num w:numId="7">
    <w:abstractNumId w:val="43"/>
  </w:num>
  <w:num w:numId="8">
    <w:abstractNumId w:val="21"/>
  </w:num>
  <w:num w:numId="9">
    <w:abstractNumId w:val="45"/>
  </w:num>
  <w:num w:numId="10">
    <w:abstractNumId w:val="32"/>
  </w:num>
  <w:num w:numId="11">
    <w:abstractNumId w:val="38"/>
  </w:num>
  <w:num w:numId="12">
    <w:abstractNumId w:val="17"/>
  </w:num>
  <w:num w:numId="13">
    <w:abstractNumId w:val="7"/>
  </w:num>
  <w:num w:numId="14">
    <w:abstractNumId w:val="22"/>
  </w:num>
  <w:num w:numId="15">
    <w:abstractNumId w:val="44"/>
  </w:num>
  <w:num w:numId="16">
    <w:abstractNumId w:val="15"/>
  </w:num>
  <w:num w:numId="17">
    <w:abstractNumId w:val="4"/>
  </w:num>
  <w:num w:numId="18">
    <w:abstractNumId w:val="3"/>
  </w:num>
  <w:num w:numId="19">
    <w:abstractNumId w:val="37"/>
  </w:num>
  <w:num w:numId="20">
    <w:abstractNumId w:val="9"/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34"/>
  </w:num>
  <w:num w:numId="27">
    <w:abstractNumId w:val="39"/>
  </w:num>
  <w:num w:numId="28">
    <w:abstractNumId w:val="35"/>
  </w:num>
  <w:num w:numId="29">
    <w:abstractNumId w:val="18"/>
  </w:num>
  <w:num w:numId="30">
    <w:abstractNumId w:val="12"/>
  </w:num>
  <w:num w:numId="31">
    <w:abstractNumId w:val="40"/>
  </w:num>
  <w:num w:numId="32">
    <w:abstractNumId w:val="25"/>
  </w:num>
  <w:num w:numId="33">
    <w:abstractNumId w:val="33"/>
    <w:lvlOverride w:ilvl="0">
      <w:startOverride w:val="2"/>
    </w:lvlOverride>
  </w:num>
  <w:num w:numId="34">
    <w:abstractNumId w:val="11"/>
    <w:lvlOverride w:ilvl="0">
      <w:startOverride w:val="2"/>
    </w:lvlOverride>
  </w:num>
  <w:num w:numId="35">
    <w:abstractNumId w:val="19"/>
  </w:num>
  <w:num w:numId="36">
    <w:abstractNumId w:val="30"/>
  </w:num>
  <w:num w:numId="37">
    <w:abstractNumId w:val="31"/>
  </w:num>
  <w:num w:numId="38">
    <w:abstractNumId w:val="5"/>
  </w:num>
  <w:num w:numId="39">
    <w:abstractNumId w:val="24"/>
  </w:num>
  <w:num w:numId="40">
    <w:abstractNumId w:val="27"/>
  </w:num>
  <w:num w:numId="41">
    <w:abstractNumId w:val="36"/>
  </w:num>
  <w:num w:numId="42">
    <w:abstractNumId w:val="26"/>
  </w:num>
  <w:num w:numId="43">
    <w:abstractNumId w:val="41"/>
  </w:num>
  <w:num w:numId="44">
    <w:abstractNumId w:val="23"/>
  </w:num>
  <w:num w:numId="45">
    <w:abstractNumId w:val="0"/>
  </w:num>
  <w:num w:numId="46">
    <w:abstractNumId w:val="46"/>
  </w:num>
  <w:num w:numId="47">
    <w:abstractNumId w:val="1"/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2290"/>
    <w:rsid w:val="00134EFF"/>
    <w:rsid w:val="001442AB"/>
    <w:rsid w:val="00154F6E"/>
    <w:rsid w:val="00156EFE"/>
    <w:rsid w:val="001610EA"/>
    <w:rsid w:val="0016132B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0A7E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E8"/>
    <w:rsid w:val="003004B2"/>
    <w:rsid w:val="00301235"/>
    <w:rsid w:val="0030153B"/>
    <w:rsid w:val="00305373"/>
    <w:rsid w:val="00305D04"/>
    <w:rsid w:val="00312D66"/>
    <w:rsid w:val="0031388E"/>
    <w:rsid w:val="003161FA"/>
    <w:rsid w:val="00316EF4"/>
    <w:rsid w:val="00320DBC"/>
    <w:rsid w:val="0032282C"/>
    <w:rsid w:val="00323A12"/>
    <w:rsid w:val="003241EF"/>
    <w:rsid w:val="00330C62"/>
    <w:rsid w:val="00331DAE"/>
    <w:rsid w:val="00335754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4703"/>
    <w:rsid w:val="00496D01"/>
    <w:rsid w:val="004A1604"/>
    <w:rsid w:val="004A1CA1"/>
    <w:rsid w:val="004A2181"/>
    <w:rsid w:val="004A2309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06847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3598"/>
    <w:rsid w:val="006B5BA0"/>
    <w:rsid w:val="006C6808"/>
    <w:rsid w:val="006D2383"/>
    <w:rsid w:val="006E4C6A"/>
    <w:rsid w:val="006E6B76"/>
    <w:rsid w:val="006F1B2F"/>
    <w:rsid w:val="006F368A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5E70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4D3B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2D31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BC2"/>
    <w:rsid w:val="009F7C66"/>
    <w:rsid w:val="009F7F2E"/>
    <w:rsid w:val="00A012C9"/>
    <w:rsid w:val="00A04983"/>
    <w:rsid w:val="00A118E5"/>
    <w:rsid w:val="00A36EF7"/>
    <w:rsid w:val="00A41900"/>
    <w:rsid w:val="00A421EC"/>
    <w:rsid w:val="00A432E0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A7079"/>
    <w:rsid w:val="00AB0065"/>
    <w:rsid w:val="00AB4AD6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2235"/>
    <w:rsid w:val="00DA3448"/>
    <w:rsid w:val="00DA46FC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514B"/>
    <w:rsid w:val="00DD7AA9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22A6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550E6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50C5"/>
    <w:rsid w:val="00F53643"/>
    <w:rsid w:val="00F550EB"/>
    <w:rsid w:val="00F5510A"/>
    <w:rsid w:val="00F56D8A"/>
    <w:rsid w:val="00F75363"/>
    <w:rsid w:val="00F8237E"/>
    <w:rsid w:val="00F830EE"/>
    <w:rsid w:val="00F96F0E"/>
    <w:rsid w:val="00FA091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0F2-96EA-41AB-AD21-2CB8A49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17</cp:revision>
  <cp:lastPrinted>2016-04-14T13:15:00Z</cp:lastPrinted>
  <dcterms:created xsi:type="dcterms:W3CDTF">2017-04-04T08:30:00Z</dcterms:created>
  <dcterms:modified xsi:type="dcterms:W3CDTF">2018-10-12T07:19:00Z</dcterms:modified>
</cp:coreProperties>
</file>